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840" w:lineRule="auto"/>
        <w:jc w:val="left"/>
        <w:rPr>
          <w:rFonts w:ascii="黑体" w:hAnsi="黑体" w:eastAsia="黑体" w:cs="Arial"/>
          <w:b/>
          <w:sz w:val="28"/>
          <w:szCs w:val="28"/>
        </w:rPr>
      </w:pPr>
    </w:p>
    <w:p>
      <w:pPr>
        <w:spacing w:line="840" w:lineRule="auto"/>
        <w:jc w:val="center"/>
        <w:rPr>
          <w:rFonts w:ascii="黑体" w:hAnsi="黑体" w:eastAsia="黑体" w:cs="Arial"/>
          <w:b/>
          <w:sz w:val="60"/>
          <w:szCs w:val="60"/>
        </w:rPr>
      </w:pPr>
      <w:r>
        <w:rPr>
          <w:rFonts w:hint="eastAsia" w:ascii="黑体" w:hAnsi="黑体" w:eastAsia="黑体" w:cs="Arial"/>
          <w:b/>
          <w:sz w:val="60"/>
          <w:szCs w:val="60"/>
        </w:rPr>
        <w:t>重型平开自动门机</w:t>
      </w:r>
    </w:p>
    <w:p>
      <w:pPr>
        <w:spacing w:line="840" w:lineRule="auto"/>
        <w:jc w:val="center"/>
        <w:rPr>
          <w:rFonts w:ascii="黑体" w:hAnsi="黑体" w:eastAsia="黑体" w:cs="Arial"/>
          <w:b/>
          <w:sz w:val="60"/>
          <w:szCs w:val="60"/>
        </w:rPr>
      </w:pPr>
      <w:r>
        <w:rPr>
          <w:rFonts w:hint="eastAsia" w:ascii="黑体" w:hAnsi="黑体" w:eastAsia="黑体" w:cs="Arial"/>
          <w:b/>
          <w:sz w:val="60"/>
          <w:szCs w:val="60"/>
        </w:rPr>
        <w:t>用户手册</w:t>
      </w:r>
    </w:p>
    <w:p>
      <w:pPr>
        <w:spacing w:line="600" w:lineRule="exact"/>
        <w:jc w:val="center"/>
        <w:rPr>
          <w:rFonts w:ascii="Arial" w:hAnsi="Arial" w:cs="Arial"/>
          <w:sz w:val="28"/>
          <w:szCs w:val="28"/>
        </w:rPr>
      </w:pPr>
    </w:p>
    <w:p>
      <w:pPr>
        <w:spacing w:line="600" w:lineRule="exact"/>
        <w:jc w:val="center"/>
        <w:rPr>
          <w:rFonts w:ascii="黑体" w:hAnsi="黑体" w:eastAsia="黑体" w:cs="Arial"/>
          <w:b/>
          <w:sz w:val="44"/>
          <w:szCs w:val="44"/>
        </w:rPr>
      </w:pPr>
      <w:r>
        <w:rPr>
          <w:rFonts w:hint="eastAsia" w:ascii="黑体" w:hAnsi="黑体" w:eastAsia="黑体" w:cs="Arial"/>
          <w:sz w:val="44"/>
          <w:szCs w:val="44"/>
        </w:rPr>
        <w:t>型号：</w:t>
      </w:r>
      <w:r>
        <w:rPr>
          <w:rFonts w:hint="eastAsia" w:ascii="黑体" w:hAnsi="黑体" w:eastAsia="黑体" w:cs="新宋体"/>
          <w:sz w:val="44"/>
          <w:szCs w:val="44"/>
        </w:rPr>
        <w:t>QF-24</w:t>
      </w:r>
      <w:r>
        <w:rPr>
          <w:rFonts w:ascii="黑体" w:hAnsi="黑体" w:eastAsia="黑体" w:cs="新宋体"/>
          <w:sz w:val="44"/>
          <w:szCs w:val="44"/>
        </w:rPr>
        <w:t>0</w:t>
      </w:r>
    </w:p>
    <w:p>
      <w:pPr>
        <w:spacing w:line="600" w:lineRule="exact"/>
        <w:jc w:val="center"/>
        <w:rPr>
          <w:rFonts w:ascii="Arial" w:hAnsi="Arial" w:cs="Arial"/>
          <w:sz w:val="36"/>
          <w:szCs w:val="36"/>
        </w:rPr>
      </w:pPr>
    </w:p>
    <w:p>
      <w:pPr>
        <w:ind w:firstLine="13440" w:firstLineChars="2800"/>
        <w:jc w:val="center"/>
        <w:rPr>
          <w:rFonts w:ascii="Times New Roman" w:hAnsi="Times New Roman"/>
          <w:sz w:val="48"/>
          <w:szCs w:val="48"/>
        </w:rPr>
      </w:pPr>
      <w:r>
        <w:rPr>
          <w:rFonts w:ascii="Times New Roman" w:hAnsi="Times New Roman"/>
          <w:sz w:val="48"/>
          <w:szCs w:val="48"/>
        </w:rPr>
        <w:t>B</w:t>
      </w:r>
    </w:p>
    <w:p>
      <w:pPr>
        <w:jc w:val="center"/>
        <w:rPr>
          <w:rFonts w:ascii="Times New Roman" w:hAnsi="Times New Roman"/>
        </w:rPr>
      </w:pPr>
      <w:r>
        <w:drawing>
          <wp:inline distT="0" distB="0" distL="0" distR="0">
            <wp:extent cx="1585595" cy="2988310"/>
            <wp:effectExtent l="647700" t="0" r="68095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4873" t="7671" r="20833" b="15625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1585986" cy="298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/>
        </w:rPr>
      </w:pPr>
    </w:p>
    <w:p>
      <w:pPr>
        <w:rPr>
          <w:rFonts w:ascii="Times New Roman" w:hAnsi="Times New Roman"/>
        </w:rPr>
      </w:pPr>
    </w:p>
    <w:p>
      <w:pPr>
        <w:rPr>
          <w:rFonts w:ascii="Times New Roman" w:hAnsi="Times New Roman"/>
          <w:sz w:val="28"/>
          <w:szCs w:val="28"/>
        </w:rPr>
      </w:pPr>
    </w:p>
    <w:p>
      <w:pPr>
        <w:rPr>
          <w:rFonts w:ascii="Times New Roman" w:hAnsi="Times New Roman"/>
          <w:sz w:val="52"/>
        </w:rPr>
      </w:pPr>
    </w:p>
    <w:p>
      <w:pPr>
        <w:widowControl/>
        <w:jc w:val="center"/>
        <w:rPr>
          <w:b/>
          <w:sz w:val="32"/>
          <w:szCs w:val="32"/>
        </w:rPr>
      </w:pPr>
      <w:r>
        <w:rPr>
          <w:rFonts w:ascii="Times New Roman" w:hAnsi="Times New Roman"/>
          <w:sz w:val="52"/>
        </w:rPr>
        <w:br w:type="page"/>
      </w:r>
      <w:r>
        <w:rPr>
          <w:rFonts w:hint="eastAsia"/>
          <w:b/>
          <w:sz w:val="32"/>
          <w:szCs w:val="32"/>
        </w:rPr>
        <w:t>警示</w:t>
      </w:r>
    </w:p>
    <w:p>
      <w:pPr>
        <w:rPr>
          <w:b/>
        </w:rPr>
      </w:pPr>
    </w:p>
    <w:p>
      <w:pPr>
        <w:ind w:firstLine="420" w:firstLineChars="200"/>
      </w:pPr>
      <w:r>
        <w:rPr>
          <w:rFonts w:hint="eastAsia"/>
        </w:rPr>
        <w:t>在自动门机安装前请仔细阅读本手册。本手册仅供有资质安装人员使用。如未遵守当地供电及建筑方面法规规定所致不当安装，制造商将不承担责任。</w:t>
      </w:r>
    </w:p>
    <w:p>
      <w:r>
        <w:rPr>
          <w:rFonts w:hint="eastAsia"/>
        </w:rPr>
        <w:t>保存所有自动门机系统的零部件及本手册以利进一步讨论咨询。</w:t>
      </w:r>
    </w:p>
    <w:p>
      <w:pPr>
        <w:ind w:firstLine="420" w:firstLineChars="200"/>
      </w:pPr>
      <w:r>
        <w:rPr>
          <w:rFonts w:hint="eastAsia"/>
        </w:rPr>
        <w:t>本手册中，请特别注意以下内容：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门机系统在安装及运行过程中存在致人伤害的风险。此外，安装应符合当地标准及法规。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如门机系统安装及使用严格按照标准及法规，门机使用确保高度安全。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安装门机系统前，应确保门本体质量及安装良好无误，门适用于现场使用环境。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儿童不得开动、玩弄门机系统。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门机系统运转时，不应通过门运动范围。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儿童不可持有控制装置及其它脉冲发生器，以避免门机系统突然运转造成伤害。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除非本手册有说明，一般不得修改变更本系统任何零部件。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关断电源后方可连接电线，门机必须接地。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如发生故障不能解决，且本手册中也未列出解决办法，请咨询有资质安装人员。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未完全阅读本手册或未完成全部安装之前，不得开动使用自动门机系统。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每周测试一次门机系统。至少每6个月由由资质人员检查保养门机系统一次。</w:t>
      </w:r>
    </w:p>
    <w:p>
      <w:pPr>
        <w:pStyle w:val="12"/>
        <w:numPr>
          <w:ilvl w:val="0"/>
          <w:numId w:val="1"/>
        </w:numPr>
        <w:ind w:firstLineChars="0"/>
      </w:pPr>
      <w:r>
        <w:rPr>
          <w:rFonts w:hint="eastAsia"/>
        </w:rPr>
        <w:t>如需要，请在门两侧安装警示标识，以警示行人在此区域内存在被伤害的潜在风险。</w:t>
      </w:r>
    </w:p>
    <w:p>
      <w:pPr>
        <w:widowControl/>
        <w:jc w:val="left"/>
        <w:rPr>
          <w:rFonts w:ascii="Times New Roman" w:hAnsi="Times New Roman"/>
          <w:b/>
          <w:sz w:val="52"/>
          <w:szCs w:val="52"/>
        </w:rPr>
      </w:pPr>
    </w:p>
    <w:p>
      <w:pPr>
        <w:widowControl/>
        <w:jc w:val="left"/>
        <w:rPr>
          <w:rFonts w:ascii="Times New Roman" w:hAnsi="Times New Roman"/>
          <w:b/>
          <w:sz w:val="52"/>
          <w:szCs w:val="52"/>
        </w:rPr>
      </w:pPr>
    </w:p>
    <w:p>
      <w:pPr>
        <w:widowControl/>
        <w:jc w:val="left"/>
        <w:rPr>
          <w:rFonts w:ascii="Times New Roman" w:hAnsi="Times New Roman"/>
          <w:b/>
          <w:sz w:val="52"/>
          <w:szCs w:val="52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widowControl/>
        <w:jc w:val="left"/>
        <w:rPr>
          <w:rFonts w:asciiTheme="minorHAnsi" w:hAnsiTheme="minorHAnsi" w:eastAsiaTheme="minorEastAsia" w:cstheme="minorBidi"/>
        </w:rPr>
      </w:pPr>
    </w:p>
    <w:p>
      <w:pPr>
        <w:rPr>
          <w:rFonts w:asciiTheme="minorHAnsi" w:hAnsiTheme="minorHAnsi" w:eastAsiaTheme="minorEastAsia" w:cstheme="minorBidi"/>
        </w:rPr>
      </w:pPr>
    </w:p>
    <w:p>
      <w:pPr>
        <w:rPr>
          <w:rFonts w:asciiTheme="minorHAnsi" w:hAnsiTheme="minorHAnsi" w:eastAsiaTheme="minorEastAsia" w:cstheme="minorBidi"/>
        </w:rPr>
      </w:pPr>
    </w:p>
    <w:p>
      <w:pPr>
        <w:rPr>
          <w:rFonts w:asciiTheme="minorHAnsi" w:hAnsiTheme="minorHAnsi" w:eastAsiaTheme="minorEastAsia" w:cstheme="minorBidi"/>
        </w:rPr>
      </w:pPr>
    </w:p>
    <w:p>
      <w:pPr>
        <w:rPr>
          <w:rFonts w:asciiTheme="minorHAnsi" w:hAnsiTheme="minorHAnsi" w:eastAsiaTheme="minorEastAsia" w:cstheme="minorBidi"/>
        </w:rPr>
      </w:pPr>
    </w:p>
    <w:p>
      <w:pPr>
        <w:rPr>
          <w:rFonts w:asciiTheme="minorHAnsi" w:hAnsiTheme="minorHAnsi" w:eastAsiaTheme="minorEastAsia" w:cstheme="minorBidi"/>
        </w:rPr>
      </w:pPr>
    </w:p>
    <w:p>
      <w:pPr>
        <w:pStyle w:val="2"/>
        <w:spacing w:beforeLines="50" w:afterLines="50" w:line="24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1 门机系统</w:t>
      </w:r>
      <w:r>
        <w:rPr>
          <w:sz w:val="21"/>
          <w:szCs w:val="21"/>
        </w:rPr>
        <w:t>构成</w:t>
      </w:r>
    </w:p>
    <w:p>
      <w:pPr>
        <w:spacing w:beforeLines="50" w:afterLines="50"/>
        <w:ind w:firstLine="363" w:firstLineChars="202"/>
        <w:rPr>
          <w:rFonts w:asciiTheme="minorHAnsi" w:hAnsiTheme="minorHAnsi" w:eastAsiaTheme="minorEastAsia" w:cstheme="minorBidi"/>
          <w:sz w:val="18"/>
          <w:szCs w:val="18"/>
        </w:rPr>
      </w:pPr>
      <w:r>
        <w:rPr>
          <w:rFonts w:hint="eastAsia" w:asciiTheme="minorHAnsi" w:hAnsiTheme="minorHAnsi" w:eastAsiaTheme="minorEastAsia" w:cstheme="minorBidi"/>
          <w:sz w:val="18"/>
          <w:szCs w:val="1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332740</wp:posOffset>
            </wp:positionV>
            <wp:extent cx="2571750" cy="1666875"/>
            <wp:effectExtent l="19050" t="0" r="0" b="0"/>
            <wp:wrapSquare wrapText="bothSides"/>
            <wp:docPr id="9" name="图片 8" descr="QF450系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QF450系统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HAnsi" w:hAnsiTheme="minorHAnsi" w:eastAsiaTheme="minorEastAsia" w:cstheme="minorBidi"/>
          <w:sz w:val="18"/>
          <w:szCs w:val="1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2671445</wp:posOffset>
            </wp:positionH>
            <wp:positionV relativeFrom="paragraph">
              <wp:posOffset>331470</wp:posOffset>
            </wp:positionV>
            <wp:extent cx="2480945" cy="1752600"/>
            <wp:effectExtent l="19050" t="0" r="0" b="0"/>
            <wp:wrapSquare wrapText="bothSides"/>
            <wp:docPr id="6" name="图片 5" descr="QF450系统 平开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QF450系统 平开门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094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HAnsi" w:hAnsiTheme="minorHAnsi" w:eastAsiaTheme="minorEastAsia" w:cstheme="minorBidi"/>
          <w:sz w:val="18"/>
          <w:szCs w:val="18"/>
        </w:rPr>
        <w:t>本系统由机组、控制器、门禁、传感器等部分构成，如下图所示</w:t>
      </w:r>
    </w:p>
    <w:p>
      <w:pPr>
        <w:pStyle w:val="2"/>
        <w:spacing w:beforeLines="50" w:afterLines="50" w:line="240" w:lineRule="auto"/>
        <w:ind w:firstLine="675" w:firstLineChars="450"/>
        <w:jc w:val="left"/>
        <w:rPr>
          <w:b w:val="0"/>
          <w:sz w:val="15"/>
          <w:szCs w:val="15"/>
        </w:rPr>
      </w:pPr>
      <w:r>
        <w:rPr>
          <w:rFonts w:hint="eastAsia"/>
          <w:b w:val="0"/>
          <w:sz w:val="15"/>
          <w:szCs w:val="15"/>
        </w:rPr>
        <w:t>门机系统用于中轴门布置示意图门机系统用于平开门布置示意图</w:t>
      </w:r>
    </w:p>
    <w:p>
      <w:pPr>
        <w:pStyle w:val="2"/>
        <w:spacing w:beforeLines="50" w:afterLines="50" w:line="24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2 技术参数</w:t>
      </w:r>
    </w:p>
    <w:p>
      <w:pPr>
        <w:pStyle w:val="12"/>
        <w:ind w:left="426" w:firstLine="0" w:firstLineChars="0"/>
      </w:pPr>
    </w:p>
    <w:tbl>
      <w:tblPr>
        <w:tblStyle w:val="9"/>
        <w:tblW w:w="7204" w:type="dxa"/>
        <w:tblInd w:w="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51"/>
        <w:gridCol w:w="2126"/>
        <w:gridCol w:w="1276"/>
        <w:gridCol w:w="255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</w:trPr>
        <w:tc>
          <w:tcPr>
            <w:tcW w:w="1251" w:type="dxa"/>
          </w:tcPr>
          <w:p>
            <w:pPr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型号</w:t>
            </w:r>
          </w:p>
        </w:tc>
        <w:tc>
          <w:tcPr>
            <w:tcW w:w="2126" w:type="dxa"/>
          </w:tcPr>
          <w:p>
            <w:pPr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QF-240</w:t>
            </w:r>
          </w:p>
        </w:tc>
        <w:tc>
          <w:tcPr>
            <w:tcW w:w="1276" w:type="dxa"/>
          </w:tcPr>
          <w:p>
            <w:pPr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最大功率</w:t>
            </w:r>
          </w:p>
        </w:tc>
        <w:tc>
          <w:tcPr>
            <w:tcW w:w="2551" w:type="dxa"/>
          </w:tcPr>
          <w:p>
            <w:pPr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45w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1251" w:type="dxa"/>
          </w:tcPr>
          <w:p>
            <w:pPr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最大门重</w:t>
            </w:r>
          </w:p>
        </w:tc>
        <w:tc>
          <w:tcPr>
            <w:tcW w:w="2126" w:type="dxa"/>
          </w:tcPr>
          <w:p>
            <w:pPr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平开门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  <w:lang w:val="en-US" w:eastAsia="zh-CN"/>
              </w:rPr>
              <w:t>500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kg，中轴门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  <w:lang w:val="en-US" w:eastAsia="zh-CN"/>
              </w:rPr>
              <w:t>7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00kg</w:t>
            </w:r>
          </w:p>
        </w:tc>
        <w:tc>
          <w:tcPr>
            <w:tcW w:w="1276" w:type="dxa"/>
          </w:tcPr>
          <w:p>
            <w:pPr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待机功率</w:t>
            </w:r>
          </w:p>
        </w:tc>
        <w:tc>
          <w:tcPr>
            <w:tcW w:w="2551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＜2w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最大门宽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 xml:space="preserve">平开门（单门）1500mm； 中轴门 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  <w:lang w:val="en-US" w:eastAsia="zh-CN"/>
              </w:rPr>
              <w:t>30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00mm</w:t>
            </w:r>
          </w:p>
        </w:tc>
        <w:tc>
          <w:tcPr>
            <w:tcW w:w="1276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工作温度</w:t>
            </w: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-40℃至85℃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最大扭矩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165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Nm</w:t>
            </w:r>
          </w:p>
        </w:tc>
        <w:tc>
          <w:tcPr>
            <w:tcW w:w="1276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寿命指标</w:t>
            </w: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连续运行300万次无故障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重量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  <w:lang w:val="en-US" w:eastAsia="zh-CN"/>
              </w:rPr>
              <w:t>9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 xml:space="preserve"> kg</w:t>
            </w:r>
          </w:p>
        </w:tc>
        <w:tc>
          <w:tcPr>
            <w:tcW w:w="1276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防护等级</w:t>
            </w: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hint="default" w:asciiTheme="majorEastAsia" w:hAnsiTheme="majorEastAsia" w:eastAsiaTheme="majorEastAsia"/>
                <w:sz w:val="15"/>
                <w:szCs w:val="15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IP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  <w:lang w:val="en-US" w:eastAsia="zh-CN"/>
              </w:rPr>
              <w:t>43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安装方式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上框安装</w:t>
            </w:r>
          </w:p>
        </w:tc>
        <w:tc>
          <w:tcPr>
            <w:tcW w:w="127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门框上安装空间</w:t>
            </w: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宽200mm、高200mm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噪音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＜60分贝</w:t>
            </w:r>
          </w:p>
        </w:tc>
        <w:tc>
          <w:tcPr>
            <w:tcW w:w="1276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机组尺寸</w:t>
            </w: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cs="黑体" w:asciiTheme="majorEastAsia" w:hAnsiTheme="majorEastAsia" w:eastAsiaTheme="majorEastAsia"/>
                <w:bCs/>
                <w:sz w:val="15"/>
                <w:szCs w:val="15"/>
              </w:rPr>
              <w:t>5</w:t>
            </w:r>
            <w:r>
              <w:rPr>
                <w:rFonts w:hint="eastAsia" w:cs="黑体" w:asciiTheme="majorEastAsia" w:hAnsiTheme="majorEastAsia" w:eastAsiaTheme="majorEastAsia"/>
                <w:bCs/>
                <w:sz w:val="15"/>
                <w:szCs w:val="15"/>
              </w:rPr>
              <w:t>20x175x113mm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电锁输出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DC12V常开/常闭触点</w:t>
            </w:r>
          </w:p>
        </w:tc>
        <w:tc>
          <w:tcPr>
            <w:tcW w:w="1276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控制箱</w:t>
            </w: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23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0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mm×200mm×80mm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4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开闭时间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 xml:space="preserve">8 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–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 xml:space="preserve"> 12 秒</w:t>
            </w:r>
          </w:p>
        </w:tc>
        <w:tc>
          <w:tcPr>
            <w:tcW w:w="1276" w:type="dxa"/>
            <w:vAlign w:val="center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使用环境</w:t>
            </w:r>
          </w:p>
        </w:tc>
        <w:tc>
          <w:tcPr>
            <w:tcW w:w="2551" w:type="dxa"/>
            <w:vAlign w:val="center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室内、半室内无水环境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开启范围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45°-  180°可调</w:t>
            </w:r>
          </w:p>
        </w:tc>
        <w:tc>
          <w:tcPr>
            <w:tcW w:w="1276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电源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220V±10%</w:t>
            </w:r>
          </w:p>
        </w:tc>
        <w:tc>
          <w:tcPr>
            <w:tcW w:w="1276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" w:hRule="atLeast"/>
        </w:trPr>
        <w:tc>
          <w:tcPr>
            <w:tcW w:w="1251" w:type="dxa"/>
          </w:tcPr>
          <w:p>
            <w:pPr>
              <w:spacing w:line="420" w:lineRule="exact"/>
              <w:jc w:val="center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额定电流</w:t>
            </w:r>
          </w:p>
        </w:tc>
        <w:tc>
          <w:tcPr>
            <w:tcW w:w="2126" w:type="dxa"/>
          </w:tcPr>
          <w:p>
            <w:pPr>
              <w:spacing w:line="42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＜1A</w:t>
            </w:r>
          </w:p>
        </w:tc>
        <w:tc>
          <w:tcPr>
            <w:tcW w:w="1276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2551" w:type="dxa"/>
          </w:tcPr>
          <w:p>
            <w:pPr>
              <w:spacing w:line="42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</w:tr>
    </w:tbl>
    <w:p>
      <w:pPr>
        <w:pStyle w:val="2"/>
        <w:spacing w:before="0" w:after="0" w:line="240" w:lineRule="exact"/>
        <w:rPr>
          <w:sz w:val="21"/>
          <w:szCs w:val="21"/>
        </w:rPr>
      </w:pPr>
    </w:p>
    <w:p>
      <w:pPr>
        <w:pStyle w:val="2"/>
        <w:spacing w:before="0" w:after="0" w:line="240" w:lineRule="exact"/>
        <w:rPr>
          <w:sz w:val="21"/>
          <w:szCs w:val="21"/>
        </w:rPr>
      </w:pPr>
    </w:p>
    <w:p>
      <w:pPr>
        <w:pStyle w:val="2"/>
        <w:spacing w:before="0" w:after="0" w:line="24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3主要部件</w:t>
      </w: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rPr>
          <w:sz w:val="15"/>
          <w:szCs w:val="15"/>
        </w:rPr>
      </w:pPr>
      <w:r>
        <w:rPr>
          <w:rFonts w:hint="eastAsia"/>
          <w:sz w:val="15"/>
          <w:szCs w:val="15"/>
        </w:rPr>
        <w:t>3.1机组及标准型上连接件</w:t>
      </w: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left"/>
        <w:rPr>
          <w:rFonts w:asciiTheme="minorHAnsi" w:hAnsiTheme="minorHAnsi" w:eastAsiaTheme="minorEastAsia" w:cstheme="minorBidi"/>
        </w:rPr>
      </w:pPr>
      <w:r>
        <w:rPr>
          <w:rFonts w:asciiTheme="minorHAnsi" w:hAnsiTheme="minorHAnsi" w:eastAsiaTheme="minorEastAsia" w:cstheme="minorBidi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845185</wp:posOffset>
            </wp:positionH>
            <wp:positionV relativeFrom="paragraph">
              <wp:posOffset>-81915</wp:posOffset>
            </wp:positionV>
            <wp:extent cx="3563620" cy="2259965"/>
            <wp:effectExtent l="0" t="0" r="0" b="0"/>
            <wp:wrapSquare wrapText="bothSides"/>
            <wp:docPr id="20" name="图片 7" descr="C:\Users\ADMINI~1\AppData\Local\Temp\WeChat Files\1093983e6865d5289946b3cb137b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 descr="C:\Users\ADMINI~1\AppData\Local\Temp\WeChat Files\1093983e6865d5289946b3cb137b04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3620" cy="225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jc w:val="center"/>
        <w:rPr>
          <w:rFonts w:asciiTheme="minorHAnsi" w:hAnsiTheme="minorHAnsi" w:eastAsiaTheme="minorEastAsia" w:cstheme="minorBidi"/>
        </w:rPr>
      </w:pPr>
    </w:p>
    <w:p>
      <w:pPr>
        <w:spacing w:line="240" w:lineRule="exact"/>
        <w:ind w:firstLine="3975" w:firstLineChars="2650"/>
        <w:jc w:val="left"/>
        <w:rPr>
          <w:rFonts w:asciiTheme="minorHAnsi" w:hAnsiTheme="minorHAnsi" w:eastAsiaTheme="minorEastAsia" w:cstheme="minorBidi"/>
        </w:rPr>
      </w:pPr>
      <w:r>
        <w:rPr>
          <w:rFonts w:hint="eastAsia" w:asciiTheme="minorHAnsi" w:hAnsiTheme="minorHAnsi" w:eastAsiaTheme="minorEastAsia" w:cstheme="minorBidi"/>
          <w:sz w:val="15"/>
          <w:szCs w:val="15"/>
        </w:rPr>
        <w:t>机组外形图</w:t>
      </w:r>
    </w:p>
    <w:p>
      <w:pPr>
        <w:jc w:val="center"/>
        <w:rPr>
          <w:rFonts w:asciiTheme="minorHAnsi" w:hAnsiTheme="minorHAnsi" w:eastAsiaTheme="minorEastAsia" w:cstheme="minorBidi"/>
        </w:rPr>
      </w:pPr>
      <w:r>
        <w:drawing>
          <wp:inline distT="0" distB="0" distL="0" distR="0">
            <wp:extent cx="4189730" cy="1791335"/>
            <wp:effectExtent l="0" t="0" r="0" b="0"/>
            <wp:docPr id="10" name="图片 8" descr="Q240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Q240-0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1968" b="24803"/>
                    <a:stretch>
                      <a:fillRect/>
                    </a:stretch>
                  </pic:blipFill>
                  <pic:spPr>
                    <a:xfrm>
                      <a:off x="0" y="0"/>
                      <a:ext cx="4231950" cy="1809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HAnsi" w:hAnsiTheme="minorHAnsi" w:eastAsiaTheme="minorEastAsia" w:cstheme="minorBidi"/>
          <w:sz w:val="15"/>
          <w:szCs w:val="15"/>
        </w:rPr>
      </w:pPr>
      <w:r>
        <w:rPr>
          <w:rFonts w:hint="eastAsia" w:asciiTheme="minorHAnsi" w:hAnsiTheme="minorHAnsi" w:eastAsiaTheme="minorEastAsia" w:cstheme="minorBidi"/>
          <w:sz w:val="15"/>
          <w:szCs w:val="15"/>
        </w:rPr>
        <w:t>机组底板尺寸图</w:t>
      </w:r>
    </w:p>
    <w:p>
      <w:pPr>
        <w:ind w:firstLine="424" w:firstLineChars="202"/>
        <w:jc w:val="left"/>
        <w:rPr>
          <w:rFonts w:asciiTheme="minorHAnsi" w:hAnsiTheme="minorHAnsi" w:eastAsiaTheme="minorEastAsia" w:cstheme="minorBidi"/>
        </w:rPr>
      </w:pPr>
    </w:p>
    <w:p>
      <w:pPr>
        <w:ind w:firstLine="303" w:firstLineChars="202"/>
        <w:jc w:val="left"/>
        <w:rPr>
          <w:rFonts w:asciiTheme="minorEastAsia" w:hAnsiTheme="minorEastAsia" w:eastAsiaTheme="minorEastAsia" w:cstheme="minorBidi"/>
          <w:sz w:val="15"/>
          <w:szCs w:val="15"/>
        </w:rPr>
      </w:pPr>
      <w:r>
        <w:rPr>
          <w:rFonts w:hint="eastAsia" w:asciiTheme="minorEastAsia" w:hAnsiTheme="minorEastAsia" w:eastAsiaTheme="minorEastAsia" w:cstheme="minorBidi"/>
          <w:sz w:val="15"/>
          <w:szCs w:val="15"/>
        </w:rPr>
        <w:t>3.2配件</w:t>
      </w:r>
    </w:p>
    <w:p>
      <w:pPr>
        <w:ind w:firstLine="303" w:firstLineChars="202"/>
        <w:jc w:val="left"/>
        <w:rPr>
          <w:rFonts w:asciiTheme="minorHAnsi" w:hAnsiTheme="minorHAnsi" w:eastAsiaTheme="minorEastAsia" w:cstheme="minorBidi"/>
          <w:sz w:val="15"/>
          <w:szCs w:val="15"/>
        </w:rPr>
      </w:pPr>
      <w:r>
        <w:rPr>
          <w:rFonts w:asciiTheme="minorHAnsi" w:hAnsiTheme="minorHAnsi" w:eastAsiaTheme="minorEastAsia" w:cstheme="minorBidi"/>
          <w:sz w:val="15"/>
          <w:szCs w:val="15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1602105</wp:posOffset>
            </wp:positionH>
            <wp:positionV relativeFrom="paragraph">
              <wp:posOffset>142875</wp:posOffset>
            </wp:positionV>
            <wp:extent cx="2063115" cy="1300480"/>
            <wp:effectExtent l="0" t="0" r="0" b="0"/>
            <wp:wrapSquare wrapText="bothSides"/>
            <wp:docPr id="24" name="图片 8" descr="C:\Users\ADMINI~1\AppData\Local\Temp\WeChat Files\feb2a495d4901d292281b0615f155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 descr="C:\Users\ADMINI~1\AppData\Local\Temp\WeChat Files\feb2a495d4901d292281b0615f1554a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3115" cy="130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eastAsiaTheme="minorEastAsia" w:cstheme="minorBidi"/>
          <w:sz w:val="15"/>
          <w:szCs w:val="15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3708400</wp:posOffset>
            </wp:positionH>
            <wp:positionV relativeFrom="paragraph">
              <wp:posOffset>51435</wp:posOffset>
            </wp:positionV>
            <wp:extent cx="2381250" cy="1800225"/>
            <wp:effectExtent l="19050" t="0" r="0" b="0"/>
            <wp:wrapSquare wrapText="bothSides"/>
            <wp:docPr id="25" name="图片 9" descr="C:\Users\ADMINI~1\AppData\Local\Temp\WeChat Files\077716a4074ae2c049e4f92123684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 descr="C:\Users\ADMINI~1\AppData\Local\Temp\WeChat Files\077716a4074ae2c049e4f921236848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eastAsiaTheme="minorEastAsia" w:cstheme="minorBidi"/>
          <w:sz w:val="15"/>
          <w:szCs w:val="15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-239395</wp:posOffset>
            </wp:positionH>
            <wp:positionV relativeFrom="paragraph">
              <wp:posOffset>238125</wp:posOffset>
            </wp:positionV>
            <wp:extent cx="1475105" cy="781050"/>
            <wp:effectExtent l="0" t="0" r="0" b="0"/>
            <wp:wrapSquare wrapText="bothSides"/>
            <wp:docPr id="22" name="图片 5" descr="C:\Users\Administrator\Desktop\qf200-01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 descr="C:\Users\Administrator\Desktop\qf200-01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ind w:firstLine="303" w:firstLineChars="202"/>
        <w:jc w:val="left"/>
        <w:rPr>
          <w:rFonts w:asciiTheme="minorHAnsi" w:hAnsiTheme="minorHAnsi" w:eastAsiaTheme="minorEastAsia" w:cstheme="minorBidi"/>
          <w:sz w:val="15"/>
          <w:szCs w:val="15"/>
        </w:rPr>
      </w:pPr>
    </w:p>
    <w:p>
      <w:pPr>
        <w:ind w:firstLine="450" w:firstLineChars="300"/>
        <w:jc w:val="left"/>
        <w:rPr>
          <w:rFonts w:asciiTheme="minorHAnsi" w:hAnsiTheme="minorHAnsi" w:eastAsiaTheme="minorEastAsia" w:cstheme="minorBidi"/>
          <w:sz w:val="15"/>
          <w:szCs w:val="15"/>
        </w:rPr>
      </w:pPr>
      <w:r>
        <w:rPr>
          <w:rFonts w:hint="eastAsia" w:asciiTheme="minorHAnsi" w:hAnsiTheme="minorHAnsi" w:eastAsiaTheme="minorEastAsia" w:cstheme="minorBidi"/>
          <w:sz w:val="15"/>
          <w:szCs w:val="15"/>
        </w:rPr>
        <w:t>300kg地轴</w:t>
      </w:r>
    </w:p>
    <w:p>
      <w:pPr>
        <w:jc w:val="left"/>
        <w:rPr>
          <w:rFonts w:asciiTheme="minorHAnsi" w:hAnsiTheme="minorHAnsi" w:eastAsiaTheme="minorEastAsia" w:cstheme="minorBidi"/>
          <w:sz w:val="15"/>
          <w:szCs w:val="15"/>
        </w:rPr>
      </w:pPr>
      <w:r>
        <w:rPr>
          <w:rFonts w:asciiTheme="minorHAnsi" w:hAnsiTheme="minorHAnsi" w:eastAsiaTheme="minorEastAsia" w:cstheme="minorBidi"/>
          <w:sz w:val="15"/>
          <w:szCs w:val="15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3903980</wp:posOffset>
            </wp:positionH>
            <wp:positionV relativeFrom="paragraph">
              <wp:posOffset>50800</wp:posOffset>
            </wp:positionV>
            <wp:extent cx="1813560" cy="1635125"/>
            <wp:effectExtent l="0" t="0" r="0" b="0"/>
            <wp:wrapSquare wrapText="bothSides"/>
            <wp:docPr id="37" name="图片 38" descr="c5a92425420e966c88ee8df9e8095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8" descr="c5a92425420e966c88ee8df9e8095b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3560" cy="163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HAnsi" w:hAnsiTheme="minorHAnsi" w:eastAsiaTheme="minorEastAsia" w:cstheme="minorBidi"/>
          <w:sz w:val="15"/>
          <w:szCs w:val="15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-297815</wp:posOffset>
            </wp:positionH>
            <wp:positionV relativeFrom="paragraph">
              <wp:posOffset>215900</wp:posOffset>
            </wp:positionV>
            <wp:extent cx="2042795" cy="1190625"/>
            <wp:effectExtent l="19050" t="0" r="0" b="0"/>
            <wp:wrapSquare wrapText="bothSides"/>
            <wp:docPr id="32" name="图片 13" descr="6034060711484100401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3" descr="603406071148410040108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279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ind w:left="300" w:hanging="300" w:hangingChars="200"/>
        <w:jc w:val="left"/>
        <w:rPr>
          <w:sz w:val="15"/>
          <w:szCs w:val="15"/>
        </w:rPr>
      </w:pPr>
    </w:p>
    <w:p>
      <w:pPr>
        <w:ind w:firstLine="405"/>
        <w:rPr>
          <w:rFonts w:asciiTheme="minorHAnsi" w:hAnsiTheme="minorHAnsi" w:eastAsiaTheme="minorEastAsia" w:cstheme="minorBidi"/>
          <w:sz w:val="15"/>
          <w:szCs w:val="15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532765</wp:posOffset>
            </wp:positionH>
            <wp:positionV relativeFrom="paragraph">
              <wp:posOffset>48895</wp:posOffset>
            </wp:positionV>
            <wp:extent cx="910590" cy="609600"/>
            <wp:effectExtent l="0" t="0" r="0" b="0"/>
            <wp:wrapSquare wrapText="bothSides"/>
            <wp:docPr id="30" name="图片 53" descr="遥控器中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3" descr="遥控器中性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059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1470" w:firstLineChars="700"/>
      </w:pPr>
    </w:p>
    <w:p>
      <w:pPr>
        <w:ind w:firstLine="1470" w:firstLineChars="700"/>
      </w:pPr>
    </w:p>
    <w:p>
      <w:pPr>
        <w:ind w:firstLine="1470" w:firstLineChars="700"/>
      </w:pPr>
    </w:p>
    <w:p>
      <w:pPr>
        <w:ind w:firstLine="1470" w:firstLineChars="700"/>
      </w:pPr>
    </w:p>
    <w:p>
      <w:pPr>
        <w:pStyle w:val="12"/>
        <w:tabs>
          <w:tab w:val="center" w:pos="4861"/>
        </w:tabs>
        <w:ind w:left="786" w:firstLine="1125" w:firstLineChars="750"/>
        <w:rPr>
          <w:sz w:val="15"/>
          <w:szCs w:val="15"/>
        </w:rPr>
      </w:pPr>
      <w:r>
        <w:rPr>
          <w:rFonts w:hint="eastAsia"/>
          <w:sz w:val="15"/>
          <w:szCs w:val="15"/>
        </w:rPr>
        <w:t>遥控器手柄</w:t>
      </w:r>
    </w:p>
    <w:p>
      <w:pPr>
        <w:tabs>
          <w:tab w:val="center" w:pos="4861"/>
        </w:tabs>
        <w:ind w:firstLine="420" w:firstLineChars="280"/>
        <w:rPr>
          <w:sz w:val="15"/>
          <w:szCs w:val="15"/>
        </w:rPr>
      </w:pPr>
      <w:r>
        <w:rPr>
          <w:rFonts w:hint="eastAsia"/>
          <w:sz w:val="15"/>
          <w:szCs w:val="15"/>
        </w:rPr>
        <w:t>MPC-2200</w:t>
      </w:r>
      <w:r>
        <w:rPr>
          <w:rFonts w:hint="eastAsia" w:asciiTheme="minorHAnsi" w:hAnsiTheme="minorHAnsi" w:eastAsiaTheme="minorEastAsia" w:cstheme="minorBidi"/>
          <w:sz w:val="15"/>
          <w:szCs w:val="15"/>
        </w:rPr>
        <w:t>控制器箱</w:t>
      </w:r>
    </w:p>
    <w:p>
      <w:pPr>
        <w:tabs>
          <w:tab w:val="left" w:pos="6945"/>
        </w:tabs>
        <w:ind w:firstLine="7050" w:firstLineChars="4700"/>
        <w:rPr>
          <w:sz w:val="15"/>
          <w:szCs w:val="15"/>
        </w:rPr>
      </w:pPr>
      <w:r>
        <w:rPr>
          <w:rFonts w:hint="eastAsia"/>
          <w:sz w:val="15"/>
          <w:szCs w:val="15"/>
        </w:rPr>
        <w:t>遥控器接收器</w:t>
      </w:r>
    </w:p>
    <w:p>
      <w:pPr>
        <w:jc w:val="center"/>
        <w:rPr>
          <w:rFonts w:asciiTheme="minorHAnsi" w:hAnsiTheme="minorHAnsi" w:eastAsiaTheme="minorEastAsia" w:cstheme="minorBidi"/>
        </w:rPr>
      </w:pPr>
    </w:p>
    <w:p>
      <w:pPr>
        <w:pStyle w:val="2"/>
        <w:spacing w:before="0" w:after="0" w:line="24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4 安装</w:t>
      </w:r>
    </w:p>
    <w:p>
      <w:pPr>
        <w:pStyle w:val="12"/>
        <w:numPr>
          <w:ilvl w:val="0"/>
          <w:numId w:val="2"/>
        </w:numPr>
        <w:ind w:left="851" w:hanging="425"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安装前准备：要熟悉说明书中的安装示意图，将与门体相连接的五金件跟门厂协调好，将五金预埋件交付门生产厂家，在门制造的过程中将其预埋到门体中，以便安装时使用。</w:t>
      </w:r>
    </w:p>
    <w:p>
      <w:pPr>
        <w:pStyle w:val="12"/>
        <w:numPr>
          <w:ilvl w:val="0"/>
          <w:numId w:val="2"/>
        </w:numPr>
        <w:ind w:left="851" w:hanging="425"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现场安装门上五金件时应严格按照设计位置尺寸，要求牢固，精准。</w:t>
      </w:r>
    </w:p>
    <w:p>
      <w:pPr>
        <w:pStyle w:val="12"/>
        <w:numPr>
          <w:ilvl w:val="0"/>
          <w:numId w:val="2"/>
        </w:numPr>
        <w:ind w:firstLine="6"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安装开门机系统，调准安装位置，如下</w:t>
      </w:r>
      <w:r>
        <w:rPr>
          <w:sz w:val="15"/>
          <w:szCs w:val="15"/>
        </w:rPr>
        <w:t>图所示</w:t>
      </w:r>
      <w:r>
        <w:rPr>
          <w:rFonts w:hint="eastAsia"/>
          <w:sz w:val="15"/>
          <w:szCs w:val="15"/>
        </w:rPr>
        <w:t>。</w:t>
      </w:r>
      <w:r>
        <w:rPr>
          <w:sz w:val="15"/>
          <w:szCs w:val="15"/>
        </w:rPr>
        <w:t>两种机型，不同安装位置。</w:t>
      </w:r>
    </w:p>
    <w:p>
      <w:pPr>
        <w:pStyle w:val="12"/>
        <w:numPr>
          <w:ilvl w:val="0"/>
          <w:numId w:val="2"/>
        </w:numPr>
        <w:ind w:firstLine="6"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注意：输出轴露出</w:t>
      </w:r>
      <w:r>
        <w:rPr>
          <w:sz w:val="15"/>
          <w:szCs w:val="15"/>
        </w:rPr>
        <w:t>天</w:t>
      </w:r>
      <w:r>
        <w:rPr>
          <w:rFonts w:hint="eastAsia"/>
          <w:sz w:val="15"/>
          <w:szCs w:val="15"/>
        </w:rPr>
        <w:t>棚</w:t>
      </w:r>
      <w:r>
        <w:rPr>
          <w:sz w:val="15"/>
          <w:szCs w:val="15"/>
        </w:rPr>
        <w:t>平面（</w:t>
      </w:r>
      <w:r>
        <w:rPr>
          <w:rFonts w:hint="eastAsia"/>
          <w:sz w:val="15"/>
          <w:szCs w:val="15"/>
        </w:rPr>
        <w:t>或</w:t>
      </w:r>
      <w:r>
        <w:rPr>
          <w:sz w:val="15"/>
          <w:szCs w:val="15"/>
        </w:rPr>
        <w:t>型材框平面</w:t>
      </w:r>
      <w:r>
        <w:rPr>
          <w:rFonts w:hint="eastAsia"/>
          <w:sz w:val="15"/>
          <w:szCs w:val="15"/>
        </w:rPr>
        <w:t>）的</w:t>
      </w:r>
      <w:r>
        <w:rPr>
          <w:sz w:val="15"/>
          <w:szCs w:val="15"/>
        </w:rPr>
        <w:t>轴长最少为</w:t>
      </w:r>
      <w:r>
        <w:rPr>
          <w:rFonts w:hint="eastAsia"/>
          <w:sz w:val="15"/>
          <w:szCs w:val="15"/>
        </w:rPr>
        <w:t>15</w:t>
      </w:r>
      <w:r>
        <w:rPr>
          <w:sz w:val="15"/>
          <w:szCs w:val="15"/>
        </w:rPr>
        <w:t>mm</w:t>
      </w:r>
      <w:r>
        <w:rPr>
          <w:rFonts w:hint="eastAsia"/>
          <w:sz w:val="15"/>
          <w:szCs w:val="15"/>
        </w:rPr>
        <w:t>。</w:t>
      </w:r>
    </w:p>
    <w:p>
      <w:pPr>
        <w:pStyle w:val="12"/>
        <w:numPr>
          <w:ilvl w:val="0"/>
          <w:numId w:val="3"/>
        </w:numPr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现场安装地轴，并调好地轴五金件位置。</w:t>
      </w:r>
    </w:p>
    <w:p>
      <w:pPr>
        <w:pStyle w:val="12"/>
        <w:numPr>
          <w:ilvl w:val="0"/>
          <w:numId w:val="3"/>
        </w:numPr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安装门体，把门体落入地轴，同时把上上输出</w:t>
      </w:r>
      <w:r>
        <w:rPr>
          <w:sz w:val="15"/>
          <w:szCs w:val="15"/>
        </w:rPr>
        <w:t>轴</w:t>
      </w:r>
      <w:r>
        <w:rPr>
          <w:rFonts w:hint="eastAsia"/>
          <w:sz w:val="15"/>
          <w:szCs w:val="15"/>
        </w:rPr>
        <w:t>与</w:t>
      </w:r>
      <w:r>
        <w:rPr>
          <w:sz w:val="15"/>
          <w:szCs w:val="15"/>
        </w:rPr>
        <w:t>门体的五金件可靠联接</w:t>
      </w:r>
      <w:r>
        <w:rPr>
          <w:rFonts w:hint="eastAsia"/>
          <w:sz w:val="15"/>
          <w:szCs w:val="15"/>
        </w:rPr>
        <w:t>，如有安装</w:t>
      </w:r>
      <w:r>
        <w:rPr>
          <w:sz w:val="15"/>
          <w:szCs w:val="15"/>
        </w:rPr>
        <w:t>偏差</w:t>
      </w:r>
      <w:r>
        <w:rPr>
          <w:rFonts w:hint="eastAsia"/>
          <w:sz w:val="15"/>
          <w:szCs w:val="15"/>
        </w:rPr>
        <w:t>，</w:t>
      </w:r>
      <w:r>
        <w:rPr>
          <w:sz w:val="15"/>
          <w:szCs w:val="15"/>
        </w:rPr>
        <w:t>需反复调整上联接件</w:t>
      </w:r>
      <w:r>
        <w:rPr>
          <w:rFonts w:hint="eastAsia"/>
          <w:sz w:val="15"/>
          <w:szCs w:val="15"/>
        </w:rPr>
        <w:t>微调</w:t>
      </w:r>
      <w:r>
        <w:rPr>
          <w:sz w:val="15"/>
          <w:szCs w:val="15"/>
        </w:rPr>
        <w:t>螺母，调准后</w:t>
      </w:r>
      <w:r>
        <w:rPr>
          <w:rFonts w:hint="eastAsia"/>
          <w:sz w:val="15"/>
          <w:szCs w:val="15"/>
        </w:rPr>
        <w:t>紧</w:t>
      </w:r>
      <w:r>
        <w:rPr>
          <w:sz w:val="15"/>
          <w:szCs w:val="15"/>
        </w:rPr>
        <w:t>固螺丝</w:t>
      </w:r>
      <w:r>
        <w:rPr>
          <w:rFonts w:hint="eastAsia"/>
          <w:sz w:val="15"/>
          <w:szCs w:val="15"/>
        </w:rPr>
        <w:t>。</w:t>
      </w:r>
    </w:p>
    <w:p>
      <w:pPr>
        <w:pStyle w:val="12"/>
        <w:numPr>
          <w:ilvl w:val="0"/>
          <w:numId w:val="4"/>
        </w:numPr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安装门体</w:t>
      </w:r>
      <w:r>
        <w:rPr>
          <w:sz w:val="15"/>
          <w:szCs w:val="15"/>
        </w:rPr>
        <w:t>缺口盖板</w:t>
      </w:r>
    </w:p>
    <w:p>
      <w:pPr>
        <w:pStyle w:val="12"/>
        <w:numPr>
          <w:ilvl w:val="0"/>
          <w:numId w:val="4"/>
        </w:numPr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连接好控制器电源及控制器-机组电缆。</w:t>
      </w:r>
    </w:p>
    <w:p>
      <w:pPr>
        <w:pStyle w:val="12"/>
        <w:ind w:left="844" w:firstLine="0" w:firstLineChars="0"/>
      </w:pPr>
    </w:p>
    <w:p>
      <w:pPr>
        <w:jc w:val="center"/>
      </w:pPr>
      <w:r>
        <w:rPr>
          <w:rFonts w:hint="eastAsia"/>
        </w:rPr>
        <w:drawing>
          <wp:inline distT="0" distB="0" distL="0" distR="0">
            <wp:extent cx="5274310" cy="2764790"/>
            <wp:effectExtent l="19050" t="0" r="2540" b="0"/>
            <wp:docPr id="48" name="图片 47" descr="450安装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 descr="450安装1.jp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18"/>
          <w:szCs w:val="18"/>
        </w:rPr>
      </w:pPr>
    </w:p>
    <w:p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机组</w:t>
      </w:r>
      <w:r>
        <w:rPr>
          <w:sz w:val="18"/>
          <w:szCs w:val="18"/>
        </w:rPr>
        <w:t>安装示意图</w:t>
      </w:r>
    </w:p>
    <w:p>
      <w:pPr>
        <w:jc w:val="center"/>
        <w:rPr>
          <w:sz w:val="18"/>
          <w:szCs w:val="18"/>
        </w:rPr>
      </w:pPr>
    </w:p>
    <w:p>
      <w:pPr>
        <w:jc w:val="center"/>
        <w:rPr>
          <w:sz w:val="18"/>
          <w:szCs w:val="18"/>
        </w:rPr>
      </w:pPr>
    </w:p>
    <w:p>
      <w:pPr>
        <w:jc w:val="center"/>
        <w:rPr>
          <w:sz w:val="18"/>
          <w:szCs w:val="18"/>
        </w:rPr>
      </w:pPr>
      <w:r>
        <w:rPr>
          <w:rFonts w:hint="eastAsia"/>
        </w:rPr>
        <w:drawing>
          <wp:inline distT="0" distB="0" distL="0" distR="0">
            <wp:extent cx="5274310" cy="1420495"/>
            <wp:effectExtent l="19050" t="0" r="2540" b="0"/>
            <wp:docPr id="50" name="图片 49" descr="450安装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9" descr="450安装2.jp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15"/>
          <w:szCs w:val="15"/>
        </w:rPr>
      </w:pPr>
      <w:r>
        <w:rPr>
          <w:rFonts w:hint="eastAsia"/>
          <w:sz w:val="15"/>
          <w:szCs w:val="15"/>
        </w:rPr>
        <w:t>上横梁背母板</w:t>
      </w:r>
      <w:r>
        <w:rPr>
          <w:sz w:val="15"/>
          <w:szCs w:val="15"/>
        </w:rPr>
        <w:t>孔位示意图</w:t>
      </w:r>
    </w:p>
    <w:p>
      <w:pPr>
        <w:rPr>
          <w:sz w:val="18"/>
          <w:szCs w:val="18"/>
        </w:rPr>
      </w:pPr>
    </w:p>
    <w:p>
      <w:pPr>
        <w:tabs>
          <w:tab w:val="left" w:pos="960"/>
        </w:tabs>
        <w:rPr>
          <w:sz w:val="18"/>
          <w:szCs w:val="18"/>
        </w:rPr>
      </w:pPr>
      <w:r>
        <w:rPr>
          <w:sz w:val="18"/>
          <w:szCs w:val="18"/>
        </w:rPr>
        <w:tab/>
      </w:r>
    </w:p>
    <w:p>
      <w:pPr>
        <w:tabs>
          <w:tab w:val="left" w:pos="960"/>
        </w:tabs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drawing>
          <wp:inline distT="0" distB="0" distL="0" distR="0">
            <wp:extent cx="3514725" cy="2763520"/>
            <wp:effectExtent l="19050" t="0" r="9525" b="0"/>
            <wp:docPr id="51" name="图片 50" descr="450安装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0" descr="450安装3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9812" cy="276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50" w:afterLines="50"/>
        <w:jc w:val="center"/>
        <w:rPr>
          <w:sz w:val="15"/>
          <w:szCs w:val="15"/>
        </w:rPr>
      </w:pPr>
      <w:r>
        <w:rPr>
          <w:rFonts w:hint="eastAsia"/>
          <w:sz w:val="15"/>
          <w:szCs w:val="15"/>
        </w:rPr>
        <w:t>开门</w:t>
      </w:r>
      <w:r>
        <w:rPr>
          <w:sz w:val="15"/>
          <w:szCs w:val="15"/>
        </w:rPr>
        <w:t>位置调整示意图</w:t>
      </w:r>
    </w:p>
    <w:p>
      <w:pPr>
        <w:spacing w:beforeLines="50" w:afterLines="50"/>
        <w:jc w:val="center"/>
        <w:rPr>
          <w:sz w:val="18"/>
          <w:szCs w:val="18"/>
        </w:rPr>
      </w:pPr>
    </w:p>
    <w:p>
      <w:pPr>
        <w:pStyle w:val="2"/>
        <w:spacing w:before="50" w:after="50" w:line="24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5 控制器接线及系统布线</w:t>
      </w:r>
    </w:p>
    <w:p>
      <w:pPr>
        <w:spacing w:before="50" w:after="50"/>
        <w:rPr>
          <w:sz w:val="15"/>
          <w:szCs w:val="15"/>
        </w:rPr>
      </w:pPr>
      <w:r>
        <w:rPr>
          <w:rFonts w:hint="eastAsia"/>
          <w:sz w:val="15"/>
          <w:szCs w:val="15"/>
        </w:rPr>
        <w:t>5.1 控制器组成</w:t>
      </w:r>
    </w:p>
    <w:p>
      <w:r>
        <w:drawing>
          <wp:inline distT="0" distB="0" distL="0" distR="0">
            <wp:extent cx="2964815" cy="2838450"/>
            <wp:effectExtent l="19050" t="0" r="6527" b="0"/>
            <wp:docPr id="11" name="图片 6" descr="kzq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kzq2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521" cy="28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15"/>
          <w:szCs w:val="15"/>
        </w:rPr>
      </w:pPr>
      <w:r>
        <w:rPr>
          <w:rFonts w:hint="eastAsia"/>
          <w:sz w:val="15"/>
          <w:szCs w:val="15"/>
        </w:rPr>
        <w:t>5.2技术参数</w:t>
      </w:r>
    </w:p>
    <w:tbl>
      <w:tblPr>
        <w:tblStyle w:val="9"/>
        <w:tblW w:w="8080" w:type="dxa"/>
        <w:tblInd w:w="108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03"/>
        <w:gridCol w:w="5177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903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电锁输出</w:t>
            </w:r>
          </w:p>
        </w:tc>
        <w:tc>
          <w:tcPr>
            <w:tcW w:w="5177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DC12V</w:t>
            </w:r>
            <w:r>
              <w:rPr>
                <w:rFonts w:hint="eastAsia"/>
                <w:sz w:val="15"/>
                <w:szCs w:val="15"/>
              </w:rPr>
              <w:t>，最大0.5A，常开/常闭软件设定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903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电源</w:t>
            </w:r>
          </w:p>
        </w:tc>
        <w:tc>
          <w:tcPr>
            <w:tcW w:w="5177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220V±10%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2903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额定电流</w:t>
            </w:r>
          </w:p>
        </w:tc>
        <w:tc>
          <w:tcPr>
            <w:tcW w:w="5177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＜1A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6" w:hRule="atLeast"/>
        </w:trPr>
        <w:tc>
          <w:tcPr>
            <w:tcW w:w="2903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最大功率</w:t>
            </w:r>
          </w:p>
        </w:tc>
        <w:tc>
          <w:tcPr>
            <w:tcW w:w="5177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45W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903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待机功率</w:t>
            </w:r>
          </w:p>
        </w:tc>
        <w:tc>
          <w:tcPr>
            <w:tcW w:w="5177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＜2W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2903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工作温度</w:t>
            </w:r>
          </w:p>
        </w:tc>
        <w:tc>
          <w:tcPr>
            <w:tcW w:w="5177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-40℃to85℃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2903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控制器尺寸</w:t>
            </w:r>
          </w:p>
        </w:tc>
        <w:tc>
          <w:tcPr>
            <w:tcW w:w="5177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230</w:t>
            </w:r>
            <w:r>
              <w:rPr>
                <w:rFonts w:hint="eastAsia"/>
                <w:sz w:val="15"/>
                <w:szCs w:val="15"/>
              </w:rPr>
              <w:t>x</w:t>
            </w:r>
            <w:r>
              <w:rPr>
                <w:sz w:val="15"/>
                <w:szCs w:val="15"/>
              </w:rPr>
              <w:t>200</w:t>
            </w:r>
            <w:r>
              <w:rPr>
                <w:rFonts w:hint="eastAsia"/>
                <w:sz w:val="15"/>
                <w:szCs w:val="15"/>
              </w:rPr>
              <w:t>x</w:t>
            </w:r>
            <w:r>
              <w:rPr>
                <w:sz w:val="15"/>
                <w:szCs w:val="15"/>
              </w:rPr>
              <w:t>80mm</w:t>
            </w:r>
          </w:p>
        </w:tc>
      </w:tr>
    </w:tbl>
    <w:p>
      <w:pPr>
        <w:rPr>
          <w:sz w:val="15"/>
          <w:szCs w:val="15"/>
        </w:rPr>
      </w:pPr>
    </w:p>
    <w:p>
      <w:pPr>
        <w:rPr>
          <w:sz w:val="15"/>
          <w:szCs w:val="15"/>
        </w:rPr>
      </w:pPr>
      <w:r>
        <w:rPr>
          <w:rFonts w:hint="eastAsia"/>
          <w:sz w:val="15"/>
          <w:szCs w:val="15"/>
        </w:rPr>
        <w:t>5.3 功能特点</w:t>
      </w:r>
    </w:p>
    <w:tbl>
      <w:tblPr>
        <w:tblStyle w:val="10"/>
        <w:tblW w:w="8222" w:type="dxa"/>
        <w:tblInd w:w="108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9"/>
        <w:gridCol w:w="2410"/>
        <w:gridCol w:w="5103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shd w:val="clear" w:color="auto" w:fill="D8D8D8" w:themeFill="background1" w:themeFillShade="D9"/>
            <w:vAlign w:val="center"/>
          </w:tcPr>
          <w:p>
            <w:pPr>
              <w:ind w:firstLine="75" w:firstLineChars="50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No</w:t>
            </w:r>
          </w:p>
        </w:tc>
        <w:tc>
          <w:tcPr>
            <w:tcW w:w="2410" w:type="dxa"/>
            <w:shd w:val="clear" w:color="auto" w:fill="D8D8D8" w:themeFill="background1" w:themeFillShade="D9"/>
          </w:tcPr>
          <w:p>
            <w:pPr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功能特点</w:t>
            </w:r>
          </w:p>
        </w:tc>
        <w:tc>
          <w:tcPr>
            <w:tcW w:w="5103" w:type="dxa"/>
            <w:shd w:val="clear" w:color="auto" w:fill="D8D8D8" w:themeFill="background1" w:themeFillShade="D9"/>
          </w:tcPr>
          <w:p>
            <w:pPr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自动开关门模式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开门后，门保持开启一段时间（开启时间可控）后自动关门。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2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单方向通行模式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单方向通行，商场、超市、银行等闭市清客时使用。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3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夜间模式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除最高优先级输入端口有效外，其余输入端口均处于无效状态。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4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门常开/常关模式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门常开模式用于人流量较大场合，常关模式用于假期等场合。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5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推即开模式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推即开模式是指门在关门位时用手推开一小角度后，门自动打开并保持开启一段时间后再自动关门。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6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推即关模式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推即关模式是指门在关门位时用手推开门后松手，门又自动关门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7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防夹功能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分为接安全传感器和不接安全传感器两种情况：                接开门及关门安全传感器（光幕）时，门在关门过程中如人被探测到则触发传感器，门将反弹开门；门在开门过程中如人被探测到则触发传感器，门将停止转动。                           不接安全传感器时，门在关门过程中如遇阻（人被夹），门将反弹开门；门在开门过程中如遇阻（人被夹），门将停止转动。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8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对开关门过程进行多阶段多参数控制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开关门过程分为启动过程，中间过程和即将到位缓动（减速）过程，每个过程控制参数不同并可单独调整。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9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防风模式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开门后停止位防风和关门位防风。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10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遥控功能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具有常开、常关、自动和夜间模式，可添加最多40个遥控器。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11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电机输出扭矩调整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可根据门重、门宽及使用环境调整电机输出扭矩。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12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延时开门/延时开锁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延时开门：控制开门延时时间，以等待电锁开启再开门；        延时开锁：等待电锁消去剩磁后再开锁。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13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双向模式下的开门随动功能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 xml:space="preserve">使用双向机组开门后再关门时，如此时有人又按下开门按钮，有以下两种情况： </w:t>
            </w:r>
          </w:p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①当门没有进入关门缓动段，门则同向反弹开启；</w:t>
            </w:r>
          </w:p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②当门进入缓动段，此时门继续转动并越过关门位向异侧开门。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14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双门模式下，主从机控制参数分别调整功能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双门同步/异步、只开单门、半开门以及不同开门速度、角度等。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15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点动开门/点动关门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通过设置可实现P1按下开门再按下关门功能，不断循环。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16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选择电锁类型及断电或通电上锁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可选择电插锁或电磁锁、断电或通电上锁，可适应不同类型锁。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>
            <w:pPr>
              <w:jc w:val="center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17</w:t>
            </w:r>
          </w:p>
        </w:tc>
        <w:tc>
          <w:tcPr>
            <w:tcW w:w="2410" w:type="dxa"/>
            <w:vAlign w:val="center"/>
          </w:tcPr>
          <w:p>
            <w:pPr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故障自检及显示</w:t>
            </w:r>
          </w:p>
        </w:tc>
        <w:tc>
          <w:tcPr>
            <w:tcW w:w="5103" w:type="dxa"/>
          </w:tcPr>
          <w:p>
            <w:pPr>
              <w:jc w:val="left"/>
              <w:rPr>
                <w:rFonts w:asciiTheme="minorEastAsia" w:hAnsiTheme="minorEastAsia"/>
                <w:sz w:val="15"/>
                <w:szCs w:val="15"/>
              </w:rPr>
            </w:pPr>
            <w:r>
              <w:rPr>
                <w:rFonts w:hint="eastAsia" w:asciiTheme="minorEastAsia" w:hAnsiTheme="minorEastAsia"/>
                <w:sz w:val="15"/>
                <w:szCs w:val="15"/>
              </w:rPr>
              <w:t>具有故障自动检测功能，并显示故障代码</w:t>
            </w:r>
          </w:p>
        </w:tc>
      </w:tr>
    </w:tbl>
    <w:p>
      <w:pPr>
        <w:ind w:firstLine="300" w:firstLineChars="200"/>
        <w:jc w:val="left"/>
        <w:rPr>
          <w:sz w:val="15"/>
          <w:szCs w:val="15"/>
        </w:rPr>
      </w:pPr>
      <w:r>
        <w:rPr>
          <w:rFonts w:hint="eastAsia"/>
          <w:bCs/>
          <w:sz w:val="15"/>
          <w:szCs w:val="15"/>
        </w:rPr>
        <w:t>5.4  系统接线图</w:t>
      </w:r>
    </w:p>
    <w:p>
      <w:pPr>
        <w:jc w:val="left"/>
      </w:pPr>
      <w:r>
        <w:drawing>
          <wp:inline distT="0" distB="0" distL="0" distR="0">
            <wp:extent cx="5274310" cy="6257925"/>
            <wp:effectExtent l="19050" t="0" r="2540" b="0"/>
            <wp:docPr id="12" name="图片 5" descr="C:\Users\Administrator\Desktop\mpc-2200中文单门200424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C:\Users\Administrator\Desktop\mpc-2200中文单门200424-Model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5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15"/>
          <w:szCs w:val="15"/>
        </w:rPr>
      </w:pPr>
      <w:r>
        <w:rPr>
          <w:rFonts w:hint="eastAsia"/>
          <w:sz w:val="15"/>
          <w:szCs w:val="15"/>
        </w:rPr>
        <w:t>5.5控制器端口功能及接线</w:t>
      </w:r>
    </w:p>
    <w:tbl>
      <w:tblPr>
        <w:tblStyle w:val="10"/>
        <w:tblW w:w="8414" w:type="dxa"/>
        <w:tblInd w:w="108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2"/>
        <w:gridCol w:w="1078"/>
        <w:gridCol w:w="1275"/>
        <w:gridCol w:w="3276"/>
        <w:gridCol w:w="2303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2" w:type="dxa"/>
            <w:tcBorders>
              <w:left w:val="nil"/>
            </w:tcBorders>
            <w:shd w:val="clear" w:color="auto" w:fill="D8D8D8" w:themeFill="background1" w:themeFillShade="D9"/>
          </w:tcPr>
          <w:p>
            <w:pPr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No.</w:t>
            </w:r>
          </w:p>
        </w:tc>
        <w:tc>
          <w:tcPr>
            <w:tcW w:w="1078" w:type="dxa"/>
            <w:shd w:val="clear" w:color="auto" w:fill="D8D8D8" w:themeFill="background1" w:themeFillShade="D9"/>
          </w:tcPr>
          <w:p>
            <w:pPr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端口编号</w:t>
            </w:r>
          </w:p>
        </w:tc>
        <w:tc>
          <w:tcPr>
            <w:tcW w:w="1275" w:type="dxa"/>
            <w:shd w:val="clear" w:color="auto" w:fill="D8D8D8" w:themeFill="background1" w:themeFillShade="D9"/>
          </w:tcPr>
          <w:p>
            <w:pPr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端口功能</w:t>
            </w:r>
          </w:p>
        </w:tc>
        <w:tc>
          <w:tcPr>
            <w:tcW w:w="3276" w:type="dxa"/>
            <w:shd w:val="clear" w:color="auto" w:fill="D8D8D8" w:themeFill="background1" w:themeFillShade="D9"/>
          </w:tcPr>
          <w:p>
            <w:pPr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端口接线图</w:t>
            </w:r>
          </w:p>
        </w:tc>
        <w:tc>
          <w:tcPr>
            <w:tcW w:w="2303" w:type="dxa"/>
            <w:tcBorders>
              <w:right w:val="nil"/>
            </w:tcBorders>
            <w:shd w:val="clear" w:color="auto" w:fill="D8D8D8" w:themeFill="background1" w:themeFillShade="D9"/>
          </w:tcPr>
          <w:p>
            <w:pPr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注释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9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P1+/GND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室内侧开门信号输入，+12V高电平有效</w:t>
            </w:r>
          </w:p>
        </w:tc>
        <w:tc>
          <w:tcPr>
            <w:tcW w:w="3276" w:type="dxa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731010" cy="1104900"/>
                  <wp:effectExtent l="19050" t="0" r="1984" b="0"/>
                  <wp:docPr id="27" name="图片 34" descr="p1+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34" descr="p1+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602" cy="1105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3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P1/GND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室内侧开门信号输入，短路有效</w:t>
            </w:r>
          </w:p>
        </w:tc>
        <w:tc>
          <w:tcPr>
            <w:tcW w:w="3276" w:type="dxa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652270" cy="1304925"/>
                  <wp:effectExtent l="19050" t="0" r="4852" b="0"/>
                  <wp:docPr id="1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607" cy="130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5"/>
                <w:szCs w:val="15"/>
              </w:rPr>
              <w:t>参数项26中数值为0时，门常关，P1有信号开门，开门保持一段时间后自动关门。其它数值含义见参数项26项说明。</w:t>
            </w:r>
          </w:p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可接入门禁、开门按钮、微波接近开关等。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2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3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P2/GND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室外侧开门信号输入，短路有效</w:t>
            </w:r>
          </w:p>
        </w:tc>
        <w:tc>
          <w:tcPr>
            <w:tcW w:w="3276" w:type="dxa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604010" cy="1330325"/>
                  <wp:effectExtent l="19050" t="0" r="0" b="0"/>
                  <wp:docPr id="1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536" cy="13341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可接入门禁、开门按钮、微波接近开关等。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4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4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P3/GND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关门过程安全信号输入，短路有效</w:t>
            </w:r>
          </w:p>
        </w:tc>
        <w:tc>
          <w:tcPr>
            <w:tcW w:w="3276" w:type="dxa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762125" cy="1611630"/>
                  <wp:effectExtent l="19050" t="0" r="9525" b="0"/>
                  <wp:docPr id="31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6119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如关门过程中有阻碍信号输入（光幕探测到人或物体），则门反弹开启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5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P4/GND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开门过程安全信号输入，短路有效</w:t>
            </w:r>
          </w:p>
        </w:tc>
        <w:tc>
          <w:tcPr>
            <w:tcW w:w="3276" w:type="dxa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835150" cy="1619250"/>
                  <wp:effectExtent l="19050" t="0" r="0" b="0"/>
                  <wp:docPr id="21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684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如开门过程中有阻碍信号输入（光幕探测到人或物体），则门停止运转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4" w:hRule="atLeast"/>
        </w:trPr>
        <w:tc>
          <w:tcPr>
            <w:tcW w:w="482" w:type="dxa"/>
            <w:vMerge w:val="restart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6</w:t>
            </w:r>
          </w:p>
        </w:tc>
        <w:tc>
          <w:tcPr>
            <w:tcW w:w="1078" w:type="dxa"/>
            <w:vMerge w:val="restart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P5/GND P6/GND  </w:t>
            </w:r>
          </w:p>
        </w:tc>
        <w:tc>
          <w:tcPr>
            <w:tcW w:w="1275" w:type="dxa"/>
            <w:vMerge w:val="restart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复用端口，参数项30数值0-2可定义不同功能</w:t>
            </w:r>
          </w:p>
          <w:p>
            <w:pPr>
              <w:jc w:val="left"/>
              <w:rPr>
                <w:sz w:val="15"/>
                <w:szCs w:val="15"/>
              </w:rPr>
            </w:pPr>
          </w:p>
        </w:tc>
        <w:tc>
          <w:tcPr>
            <w:tcW w:w="3276" w:type="dxa"/>
            <w:tcBorders>
              <w:bottom w:val="nil"/>
            </w:tcBorders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drawing>
                <wp:inline distT="0" distB="0" distL="0" distR="0">
                  <wp:extent cx="1619885" cy="1876425"/>
                  <wp:effectExtent l="19050" t="0" r="0" b="0"/>
                  <wp:docPr id="40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742" cy="1884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15"/>
                <w:szCs w:val="15"/>
              </w:rPr>
              <w:t>参数项30中数值为0时</w:t>
            </w:r>
          </w:p>
        </w:tc>
        <w:tc>
          <w:tcPr>
            <w:tcW w:w="2303" w:type="dxa"/>
            <w:tcBorders>
              <w:bottom w:val="nil"/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参数项30中数值含义</w:t>
            </w:r>
          </w:p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0: 双向机时，P5、P6关门过程中屏蔽其它输入信号（使其它输入信号无效）；</w:t>
            </w:r>
          </w:p>
          <w:p>
            <w:pPr>
              <w:jc w:val="left"/>
              <w:rPr>
                <w:sz w:val="15"/>
                <w:szCs w:val="15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9" w:hRule="atLeast"/>
        </w:trPr>
        <w:tc>
          <w:tcPr>
            <w:tcW w:w="482" w:type="dxa"/>
            <w:vMerge w:val="continue"/>
            <w:tcBorders>
              <w:left w:val="nil"/>
            </w:tcBorders>
            <w:vAlign w:val="center"/>
          </w:tcPr>
          <w:p>
            <w:pPr>
              <w:jc w:val="center"/>
              <w:rPr>
                <w:sz w:val="15"/>
                <w:szCs w:val="15"/>
              </w:rPr>
            </w:pPr>
          </w:p>
        </w:tc>
        <w:tc>
          <w:tcPr>
            <w:tcW w:w="1078" w:type="dxa"/>
            <w:vMerge w:val="continue"/>
            <w:vAlign w:val="center"/>
          </w:tcPr>
          <w:p>
            <w:pPr>
              <w:jc w:val="center"/>
              <w:rPr>
                <w:sz w:val="15"/>
                <w:szCs w:val="15"/>
              </w:rPr>
            </w:pPr>
          </w:p>
        </w:tc>
        <w:tc>
          <w:tcPr>
            <w:tcW w:w="1275" w:type="dxa"/>
            <w:vMerge w:val="continue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</w:p>
        </w:tc>
        <w:tc>
          <w:tcPr>
            <w:tcW w:w="3276" w:type="dxa"/>
            <w:tcBorders>
              <w:top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833880" cy="1605280"/>
                  <wp:effectExtent l="19050" t="0" r="0" b="0"/>
                  <wp:docPr id="42" name="图片 41" descr="C:\Users\ADMINI~1\AppData\Local\Temp\1583807201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1" descr="C:\Users\ADMINI~1\AppData\Local\Temp\1583807201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445" cy="16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参数项30中数值为1时</w:t>
            </w:r>
          </w:p>
        </w:tc>
        <w:tc>
          <w:tcPr>
            <w:tcW w:w="2303" w:type="dxa"/>
            <w:tcBorders>
              <w:top w:val="nil"/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1: P5在有模式开关系统中实现单向控制功能，P6模式开关控制单门</w:t>
            </w:r>
          </w:p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2: P5在模式开关中控制单向功能，P6为最高优先级输入口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9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7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P7/GND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强制关门信号输入，短路有效</w:t>
            </w:r>
          </w:p>
        </w:tc>
        <w:tc>
          <w:tcPr>
            <w:tcW w:w="3276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452245" cy="1371600"/>
                  <wp:effectExtent l="19050" t="0" r="0" b="0"/>
                  <wp:docPr id="47" name="图片 46" descr="p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6" descr="p7.pn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8137" cy="1377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P7强制关门信号输入端口，优先级高于P1、P2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6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8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L+/L-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电锁输出端口</w:t>
            </w:r>
          </w:p>
        </w:tc>
        <w:tc>
          <w:tcPr>
            <w:tcW w:w="3276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141095" cy="1524000"/>
                  <wp:effectExtent l="19050" t="0" r="1426" b="0"/>
                  <wp:docPr id="43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258" cy="1526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电锁+12 VDC输出，注意电锁“+”、“-”极。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9" w:hRule="atLeast"/>
        </w:trPr>
        <w:tc>
          <w:tcPr>
            <w:tcW w:w="482" w:type="dxa"/>
            <w:tcBorders>
              <w:left w:val="nil"/>
            </w:tcBorders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9</w:t>
            </w:r>
          </w:p>
        </w:tc>
        <w:tc>
          <w:tcPr>
            <w:tcW w:w="1078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+12V DC/GND</w:t>
            </w:r>
          </w:p>
        </w:tc>
        <w:tc>
          <w:tcPr>
            <w:tcW w:w="1275" w:type="dxa"/>
            <w:vAlign w:val="center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直流+12V输出端口</w:t>
            </w:r>
          </w:p>
        </w:tc>
        <w:tc>
          <w:tcPr>
            <w:tcW w:w="3276" w:type="dxa"/>
            <w:vAlign w:val="center"/>
          </w:tcPr>
          <w:p>
            <w:pPr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0" distR="0">
                  <wp:extent cx="1012825" cy="1076325"/>
                  <wp:effectExtent l="19050" t="0" r="0" b="0"/>
                  <wp:docPr id="44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21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>
            <w:pPr>
              <w:jc w:val="left"/>
              <w:rPr>
                <w:b/>
                <w:sz w:val="15"/>
                <w:szCs w:val="15"/>
                <w:u w:val="single"/>
              </w:rPr>
            </w:pPr>
            <w:r>
              <w:rPr>
                <w:rFonts w:hint="eastAsia"/>
                <w:b/>
                <w:sz w:val="15"/>
                <w:szCs w:val="15"/>
                <w:u w:val="single"/>
              </w:rPr>
              <w:t>所有负载电流总计含电锁不应超过0.5A。</w:t>
            </w:r>
          </w:p>
        </w:tc>
      </w:tr>
    </w:tbl>
    <w:p>
      <w:pPr>
        <w:spacing w:line="240" w:lineRule="exact"/>
        <w:rPr>
          <w:bCs/>
          <w:sz w:val="15"/>
          <w:szCs w:val="15"/>
        </w:rPr>
      </w:pPr>
    </w:p>
    <w:p>
      <w:pPr>
        <w:pStyle w:val="12"/>
        <w:numPr>
          <w:ilvl w:val="0"/>
          <w:numId w:val="5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bCs/>
          <w:sz w:val="15"/>
          <w:szCs w:val="15"/>
        </w:rPr>
        <w:t>机组连接端口</w:t>
      </w:r>
      <w:r>
        <w:rPr>
          <w:rFonts w:hint="eastAsia"/>
          <w:sz w:val="15"/>
          <w:szCs w:val="15"/>
        </w:rPr>
        <w:t>：</w:t>
      </w: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A、B、C端子：为电机驱动输出端子，分别接机组的蓝、白、黄三根粗线。</w:t>
      </w: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HA、HB、HC、+5V、GND端子：为机组的信号线输入端子，分别接机组的蓝、白、黄、红、黑五根细线，信号线传输距离超过5米时一定要采用屏蔽线并单端接地。</w:t>
      </w:r>
    </w:p>
    <w:p>
      <w:pPr>
        <w:spacing w:line="240" w:lineRule="exact"/>
        <w:ind w:firstLine="369" w:firstLineChars="245"/>
        <w:rPr>
          <w:b/>
          <w:sz w:val="15"/>
          <w:szCs w:val="15"/>
        </w:rPr>
      </w:pPr>
      <w:r>
        <w:rPr>
          <w:rFonts w:hint="eastAsia"/>
          <w:b/>
          <w:sz w:val="15"/>
          <w:szCs w:val="15"/>
        </w:rPr>
        <w:t>注意：3芯电机线和5芯信号线一定要单独走线，防止相互干扰。电线接头处要用焊锡焊接后套热缩管做好防水处理。在安装过程中严禁将3芯电机线和5芯信号线连在一起。</w:t>
      </w:r>
    </w:p>
    <w:p>
      <w:pPr>
        <w:pStyle w:val="12"/>
        <w:numPr>
          <w:ilvl w:val="0"/>
          <w:numId w:val="5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遥控接收端口：</w:t>
      </w: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+5V/ANT/GND, 可与选配的遥控接收器连接。</w:t>
      </w:r>
    </w:p>
    <w:p>
      <w:pPr>
        <w:spacing w:line="240" w:lineRule="exact"/>
        <w:rPr>
          <w:sz w:val="15"/>
          <w:szCs w:val="15"/>
        </w:rPr>
      </w:pP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5.6参数项设定</w:t>
      </w: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5.6.1常用参数项设定</w:t>
      </w:r>
    </w:p>
    <w:tbl>
      <w:tblPr>
        <w:tblStyle w:val="9"/>
        <w:tblW w:w="8050" w:type="dxa"/>
        <w:jc w:val="center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9"/>
        <w:gridCol w:w="1796"/>
        <w:gridCol w:w="614"/>
        <w:gridCol w:w="425"/>
        <w:gridCol w:w="4776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shd w:val="clear" w:color="auto" w:fill="D8D8D8" w:themeFill="background1" w:themeFillShade="D9"/>
            <w:vAlign w:val="center"/>
          </w:tcPr>
          <w:p>
            <w:pPr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参数号</w:t>
            </w:r>
          </w:p>
        </w:tc>
        <w:tc>
          <w:tcPr>
            <w:tcW w:w="1796" w:type="dxa"/>
            <w:shd w:val="clear" w:color="auto" w:fill="D8D8D8" w:themeFill="background1" w:themeFillShade="D9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功能</w:t>
            </w:r>
          </w:p>
        </w:tc>
        <w:tc>
          <w:tcPr>
            <w:tcW w:w="614" w:type="dxa"/>
            <w:shd w:val="clear" w:color="auto" w:fill="D8D8D8" w:themeFill="background1" w:themeFillShade="D9"/>
            <w:vAlign w:val="center"/>
          </w:tcPr>
          <w:p>
            <w:pPr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设置范围</w:t>
            </w:r>
          </w:p>
        </w:tc>
        <w:tc>
          <w:tcPr>
            <w:tcW w:w="425" w:type="dxa"/>
            <w:shd w:val="clear" w:color="auto" w:fill="D8D8D8" w:themeFill="background1" w:themeFillShade="D9"/>
            <w:vAlign w:val="center"/>
          </w:tcPr>
          <w:p>
            <w:pPr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出厂值</w:t>
            </w:r>
          </w:p>
        </w:tc>
        <w:tc>
          <w:tcPr>
            <w:tcW w:w="4776" w:type="dxa"/>
            <w:shd w:val="clear" w:color="auto" w:fill="D8D8D8" w:themeFill="background1" w:themeFillShade="D9"/>
            <w:vAlign w:val="center"/>
          </w:tcPr>
          <w:p>
            <w:pPr>
              <w:ind w:firstLine="151" w:firstLineChars="100"/>
              <w:jc w:val="center"/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注释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开门速度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开门过程分为3阶段：初始阶段、中间阶段和开门即将到位缓动阶段。此开门速度为开门中间阶段速度，数值为相对值，0最慢，30最快。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关门速度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关门过程分为3阶段：初始阶段、中间阶段和关门即将到位缓动阶段。此关门速度为关门中间阶段速度，数值为相对值，0最慢，30最快。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开门角度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25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开门停止后其停止位与关门位间的夹角，范围45-180°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4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主机关门位置微调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50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双向时用，将门准确调整在关门位置。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5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开门停止保持时间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自动模式下，开门到位后停止一段时间再自动关门。此停止保持时间可根据需要调整。0-30秒可调。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6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关门防夹延时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10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不接安全传感器时，门在关门过程中如遇阻（人被夹），门将反弹开门；延时越小越灵敏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7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压门力度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5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关门即将到位时为防风施加在门上的力。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8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模式选择：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0-4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0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推即关：关门无锁状态时，手动推开门体，在任何位置松手后，门体自动关闭。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 xml:space="preserve">                                                                                                     1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推即开：关门无锁状态时，手动推开门体5度以上，门体自动开始至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90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度，停止并保持，然后自动关门。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 xml:space="preserve">                                                                                      2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，无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 xml:space="preserve">                                                                                                                3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磁力锁，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4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电插锁模式：选电锁相应类型。另外如需选参数项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15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电锁延迟，必须先选此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3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或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4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之一。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9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开门方向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0顺时针开门，1逆时针开门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10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遥控器添加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0-40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最多可添加40只遥控器。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11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从机开门速度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双门时使用，须先将参数项20中数值调整为1（不同步）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12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从机关门速度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双门时使用，须先将参数项20中数值调整为1（不同步）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13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从机开门角度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25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双门时使用，须先将参数项20中数值调整为1（不同步）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14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从机关门位置微调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50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双向、双门时用，从机关门位置微调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15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电锁延时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开门时为消除电锁剩磁而延迟开锁时间。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16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关门缓动距离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关门即将到位缓动阶段转动角度，相对值越大则缓动角度越大，目的是减速减小关门时冲击力。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17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开门缓动距离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开门即将到位缓动阶段转动角度，相对值越大则缓动角度越大，目的是减速减小开门到位停止时门冲击力。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18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开门防夹延时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15</w:t>
            </w:r>
          </w:p>
        </w:tc>
        <w:tc>
          <w:tcPr>
            <w:tcW w:w="4776" w:type="dxa"/>
            <w:vAlign w:val="center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不接安全传感器时，门在开门过程中如遇阻（人被夹），门将停止转动。延时越小越灵敏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19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开门延时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0-85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延时开门，等待电锁先开启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20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双门同步</w:t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双门时用，0同步，1不同步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21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4776" w:type="dxa"/>
            <w:vAlign w:val="center"/>
          </w:tcPr>
          <w:p>
            <w:pPr>
              <w:ind w:firstLine="294" w:firstLineChars="196"/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439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22</w:t>
            </w:r>
          </w:p>
        </w:tc>
        <w:tc>
          <w:tcPr>
            <w:tcW w:w="179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遥控器删除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ab/>
            </w:r>
          </w:p>
        </w:tc>
        <w:tc>
          <w:tcPr>
            <w:tcW w:w="61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0保留，10删除</w:t>
            </w:r>
          </w:p>
        </w:tc>
      </w:tr>
    </w:tbl>
    <w:p>
      <w:pPr>
        <w:spacing w:line="240" w:lineRule="exact"/>
        <w:rPr>
          <w:sz w:val="15"/>
          <w:szCs w:val="15"/>
        </w:rPr>
      </w:pPr>
    </w:p>
    <w:p>
      <w:pPr>
        <w:rPr>
          <w:bCs/>
          <w:sz w:val="15"/>
          <w:szCs w:val="15"/>
        </w:rPr>
      </w:pPr>
    </w:p>
    <w:p>
      <w:pPr>
        <w:rPr>
          <w:bCs/>
          <w:sz w:val="15"/>
          <w:szCs w:val="15"/>
        </w:rPr>
      </w:pPr>
      <w:r>
        <w:rPr>
          <w:rFonts w:hint="eastAsia"/>
          <w:bCs/>
          <w:sz w:val="15"/>
          <w:szCs w:val="15"/>
        </w:rPr>
        <w:t>5.6.2系统参数项设定</w:t>
      </w:r>
    </w:p>
    <w:p>
      <w:pPr>
        <w:rPr>
          <w:sz w:val="15"/>
          <w:szCs w:val="15"/>
        </w:rPr>
      </w:pPr>
      <w:r>
        <w:rPr>
          <w:rFonts w:hint="eastAsia"/>
          <w:sz w:val="15"/>
          <w:szCs w:val="15"/>
        </w:rPr>
        <w:t>注：长按▼建10秒键可进入系统参数设置，系统参数出厂已经设定好，用户除特殊情况外不需要设置。</w:t>
      </w:r>
    </w:p>
    <w:p>
      <w:pPr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设置不当会造成未知故障，如需设置请咨询代理商或我公司</w:t>
      </w:r>
    </w:p>
    <w:tbl>
      <w:tblPr>
        <w:tblStyle w:val="9"/>
        <w:tblW w:w="7864" w:type="dxa"/>
        <w:tblInd w:w="108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1984"/>
        <w:gridCol w:w="567"/>
        <w:gridCol w:w="425"/>
        <w:gridCol w:w="4462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shd w:val="clear" w:color="auto" w:fill="D8D8D8" w:themeFill="background1" w:themeFillShade="D9"/>
            <w:vAlign w:val="center"/>
          </w:tcPr>
          <w:p>
            <w:pPr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参数号</w:t>
            </w:r>
          </w:p>
        </w:tc>
        <w:tc>
          <w:tcPr>
            <w:tcW w:w="1984" w:type="dxa"/>
            <w:shd w:val="clear" w:color="auto" w:fill="D8D8D8" w:themeFill="background1" w:themeFillShade="D9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功能</w:t>
            </w:r>
          </w:p>
        </w:tc>
        <w:tc>
          <w:tcPr>
            <w:tcW w:w="567" w:type="dxa"/>
            <w:shd w:val="clear" w:color="auto" w:fill="D8D8D8" w:themeFill="background1" w:themeFillShade="D9"/>
            <w:vAlign w:val="center"/>
          </w:tcPr>
          <w:p>
            <w:pPr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设置范围</w:t>
            </w:r>
          </w:p>
        </w:tc>
        <w:tc>
          <w:tcPr>
            <w:tcW w:w="425" w:type="dxa"/>
            <w:shd w:val="clear" w:color="auto" w:fill="D8D8D8" w:themeFill="background1" w:themeFillShade="D9"/>
            <w:vAlign w:val="center"/>
          </w:tcPr>
          <w:p>
            <w:pPr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出厂值</w:t>
            </w:r>
          </w:p>
        </w:tc>
        <w:tc>
          <w:tcPr>
            <w:tcW w:w="4462" w:type="dxa"/>
            <w:shd w:val="clear" w:color="auto" w:fill="D8D8D8" w:themeFill="background1" w:themeFillShade="D9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b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b/>
                <w:sz w:val="15"/>
                <w:szCs w:val="15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23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控制器模式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0:单门； 1:双门同向开门；2:双门异向开门；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24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开启模式选择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0:单向： 1:双向；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25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电机输出转矩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0-24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5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 最大    24:最小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26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 xml:space="preserve">P1端口功能     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0-3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该项用于双向门机时无效，不可设置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0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 xml:space="preserve">:正逻辑：门常关 ，P1有信号开门，开门保持一段时间后自动关门。                                         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1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 xml:space="preserve">:反逻辑：门常开 ，P1或P7有信号关门，断开（无信号）开门。              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asciiTheme="majorEastAsia" w:hAnsiTheme="majorEastAsia" w:eastAsiaTheme="majorEastAsia"/>
                <w:sz w:val="15"/>
                <w:szCs w:val="15"/>
              </w:rPr>
              <w:t>2; P1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,P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7关门：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P1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有信号开门后停止，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P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7有信号关门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;                                       3: P1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点动开，点动关：</w:t>
            </w:r>
            <w:r>
              <w:rPr>
                <w:rFonts w:asciiTheme="majorEastAsia" w:hAnsiTheme="majorEastAsia" w:eastAsiaTheme="majorEastAsia"/>
                <w:sz w:val="15"/>
                <w:szCs w:val="15"/>
              </w:rPr>
              <w:t>P1</w:t>
            </w: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短接（有信号）开门、常开，再短接关门，类似按钮开关功能。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27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编码器方向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 顺时针方向   1:逆时针方向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28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锁类型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0:通电上锁；1:断电上锁;  2：通电零位上锁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29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开门到位位置防风模式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0:关 1:防风 2:强防风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30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P5、P6功能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 P5、P6用于开门后门又自动关闭这个过程中屏蔽开门信号（即门在关闭过程中门开启信号无效），用于双向机；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1: P5有模式开关时控制单向，P6在有模式开关应用于双门系统时只开关单门；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2：P5有模式开关时单向，P6最高优先级输入口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31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保护模式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spacing w:line="240" w:lineRule="exact"/>
              <w:jc w:val="lef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0：锁释放：关门受阻，出现故障码E9，L+、L-断电。移除阻碍后，用手向0位推回门后故障码消除、系统恢复正常。                                                  1：门禁：此状态下锁断电，关门受阻出现故障码E9后，L+、L-给电，当P1有信号时L+、L-断电5秒。移除阻碍后，手推门回0位系统恢复正常。                                                    2:自动复位：反复关门一段时间后停止，无故障码。10分钟后再次启动，手推门回0位恢复正常。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32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P3、P4功能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0-3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P3/P4分别为关/开门过程安全信号输入，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0：P3关门过程安全信号输入则门反转,P4开门过程安全信号输入则门停止（常开信号）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1：P3关门过程安全信号输入则门停止,P4开门过程安全信号输入则门停止（常开信号）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2：P3关门过程安全信号输入则门反转,P4开门过程安全信号输入则门停止（常闭信号）</w:t>
            </w:r>
          </w:p>
          <w:p>
            <w:pPr>
              <w:spacing w:line="240" w:lineRule="exact"/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3：P3关门过程安全信号输入则门停止,P4开门过程安全信号输入则门停止（常闭信号）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33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双向随动功能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双向时用，0：普通1：随动（见4.1.4中13项）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34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电插锁检测角度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35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电机磁极数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0：4极；1：6极；2: 8极.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36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双向定位保持力矩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0-5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 最大，5 ::最小。用于双向机无锁状态下关门位防风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37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角度倍增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0：普通1：角度增大一倍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38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单向待机保持力矩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0-5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4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0: 最大，5:最小。用于单向机无锁状态下关门位防风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39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40</w:t>
            </w:r>
          </w:p>
        </w:tc>
        <w:tc>
          <w:tcPr>
            <w:tcW w:w="1984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恢复出厂</w:t>
            </w:r>
          </w:p>
        </w:tc>
        <w:tc>
          <w:tcPr>
            <w:tcW w:w="567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>
            <w:pPr>
              <w:rPr>
                <w:rFonts w:asciiTheme="majorEastAsia" w:hAnsiTheme="majorEastAsia" w:eastAsiaTheme="majorEastAsia"/>
                <w:sz w:val="15"/>
                <w:szCs w:val="15"/>
              </w:rPr>
            </w:pPr>
            <w:r>
              <w:rPr>
                <w:rFonts w:hint="eastAsia" w:asciiTheme="majorEastAsia" w:hAnsiTheme="majorEastAsia" w:eastAsiaTheme="majorEastAsia"/>
                <w:sz w:val="15"/>
                <w:szCs w:val="15"/>
              </w:rPr>
              <w:t>10：恢复出厂</w:t>
            </w:r>
          </w:p>
        </w:tc>
      </w:tr>
    </w:tbl>
    <w:p>
      <w:pPr>
        <w:rPr>
          <w:sz w:val="15"/>
          <w:szCs w:val="15"/>
        </w:rPr>
      </w:pPr>
    </w:p>
    <w:p>
      <w:pPr>
        <w:ind w:firstLine="300" w:firstLineChars="200"/>
        <w:rPr>
          <w:sz w:val="15"/>
          <w:szCs w:val="15"/>
        </w:rPr>
      </w:pPr>
    </w:p>
    <w:p>
      <w:pPr>
        <w:rPr>
          <w:sz w:val="15"/>
          <w:szCs w:val="15"/>
        </w:rPr>
      </w:pPr>
    </w:p>
    <w:p>
      <w:pPr>
        <w:rPr>
          <w:sz w:val="15"/>
          <w:szCs w:val="15"/>
        </w:rPr>
      </w:pPr>
      <w:r>
        <w:rPr>
          <w:rFonts w:hint="eastAsia"/>
          <w:sz w:val="15"/>
          <w:szCs w:val="15"/>
        </w:rPr>
        <w:t>5.7故障代码</w:t>
      </w:r>
    </w:p>
    <w:tbl>
      <w:tblPr>
        <w:tblStyle w:val="9"/>
        <w:tblW w:w="7488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8"/>
        <w:gridCol w:w="1997"/>
        <w:gridCol w:w="4393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  <w:shd w:val="clear" w:color="auto" w:fill="BEBEBE" w:themeFill="background1" w:themeFillShade="BF"/>
            <w:vAlign w:val="center"/>
          </w:tcPr>
          <w:p>
            <w:pPr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故障代码</w:t>
            </w:r>
          </w:p>
        </w:tc>
        <w:tc>
          <w:tcPr>
            <w:tcW w:w="1997" w:type="dxa"/>
            <w:shd w:val="clear" w:color="auto" w:fill="BEBEBE" w:themeFill="background1" w:themeFillShade="BF"/>
            <w:vAlign w:val="center"/>
          </w:tcPr>
          <w:p>
            <w:pPr>
              <w:ind w:firstLine="301" w:firstLineChars="20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故障原因</w:t>
            </w:r>
          </w:p>
        </w:tc>
        <w:tc>
          <w:tcPr>
            <w:tcW w:w="4393" w:type="dxa"/>
            <w:shd w:val="clear" w:color="auto" w:fill="BEBEBE" w:themeFill="background1" w:themeFillShade="BF"/>
            <w:vAlign w:val="center"/>
          </w:tcPr>
          <w:p>
            <w:pPr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解决方法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  <w:vAlign w:val="center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E0</w:t>
            </w:r>
          </w:p>
        </w:tc>
        <w:tc>
          <w:tcPr>
            <w:tcW w:w="1997" w:type="dxa"/>
            <w:vAlign w:val="center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系统错误</w:t>
            </w:r>
          </w:p>
        </w:tc>
        <w:tc>
          <w:tcPr>
            <w:tcW w:w="4393" w:type="dxa"/>
            <w:vAlign w:val="center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更换电路板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E1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电机未连接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检查电机连线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E2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电机或线路故障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检查电机连线、更换电机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E3:  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双向端口错误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检查双机联动线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E4: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12电压过高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检查AC12V输入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E5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12电压过低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检查AC12V输入，电锁，12V电压端口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E6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36电压过高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检查电网输入电压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E7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36电压过低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检查AC36V输入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E8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未检测到门体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检查输出轴与门体连接、更换机组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E9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关闭阻碍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检查门体、折页、清除障碍物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EA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编码器方向错误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检查27项参数是否正确设置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C3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保护传感器异常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检查P3端口保护传感器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C4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保护传感器异常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检查P4端口保护传感器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Ax</w:t>
            </w:r>
          </w:p>
        </w:tc>
        <w:tc>
          <w:tcPr>
            <w:tcW w:w="1997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双向自学习错误</w:t>
            </w:r>
          </w:p>
        </w:tc>
        <w:tc>
          <w:tcPr>
            <w:tcW w:w="4393" w:type="dxa"/>
          </w:tcPr>
          <w:p>
            <w:pPr>
              <w:ind w:firstLine="225" w:firstLineChars="15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检查电机线序、清除障碍物</w:t>
            </w:r>
          </w:p>
        </w:tc>
      </w:tr>
    </w:tbl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注：在双门控制器应用时，如故障代码为Fx，为从机故障，故障原因及处理方法同上。</w:t>
      </w: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在双门双向控制器应用时，如故障代码为bx，为从机双向自学习错误，故障原因及处理方法同上。</w:t>
      </w:r>
    </w:p>
    <w:p>
      <w:pPr>
        <w:pStyle w:val="2"/>
        <w:spacing w:before="0" w:after="0" w:line="240" w:lineRule="exact"/>
        <w:rPr>
          <w:sz w:val="21"/>
          <w:szCs w:val="21"/>
        </w:rPr>
      </w:pPr>
      <w:bookmarkStart w:id="0" w:name="_Toc35264382"/>
    </w:p>
    <w:p>
      <w:pPr>
        <w:pStyle w:val="2"/>
        <w:spacing w:before="0" w:after="0" w:line="24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6系统调试</w:t>
      </w:r>
      <w:bookmarkEnd w:id="0"/>
    </w:p>
    <w:p>
      <w:pPr>
        <w:spacing w:line="240" w:lineRule="exact"/>
        <w:rPr>
          <w:sz w:val="15"/>
          <w:szCs w:val="15"/>
        </w:rPr>
      </w:pP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6.1 调试前准备</w:t>
      </w:r>
    </w:p>
    <w:p>
      <w:pPr>
        <w:pStyle w:val="12"/>
        <w:numPr>
          <w:ilvl w:val="0"/>
          <w:numId w:val="6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仔细阅读完本安装使用说明书；</w:t>
      </w:r>
    </w:p>
    <w:p>
      <w:pPr>
        <w:pStyle w:val="12"/>
        <w:numPr>
          <w:ilvl w:val="0"/>
          <w:numId w:val="6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系统按要求完成所有机械安装；</w:t>
      </w:r>
    </w:p>
    <w:p>
      <w:pPr>
        <w:pStyle w:val="12"/>
        <w:numPr>
          <w:ilvl w:val="0"/>
          <w:numId w:val="6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系统准确布线、接线（包括接地线）；</w:t>
      </w:r>
    </w:p>
    <w:p>
      <w:pPr>
        <w:pStyle w:val="12"/>
        <w:numPr>
          <w:ilvl w:val="0"/>
          <w:numId w:val="6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再次检查系统接线，确保接线无误；</w:t>
      </w:r>
    </w:p>
    <w:p>
      <w:pPr>
        <w:pStyle w:val="12"/>
        <w:numPr>
          <w:ilvl w:val="0"/>
          <w:numId w:val="6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通电前，用手反复匀速推关门，门应转动自如，不能有卡滞、断续及只有门转而机组输出轴不转（输出轴连接处有间隙）的情况，如有以上问题必须先排除，否则会严重影响机组正常工作。</w:t>
      </w:r>
    </w:p>
    <w:p>
      <w:pPr>
        <w:spacing w:beforeLines="50" w:afterLines="50"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6.2调试</w:t>
      </w:r>
    </w:p>
    <w:p>
      <w:pPr>
        <w:spacing w:beforeLines="50" w:afterLines="50" w:line="240" w:lineRule="exact"/>
        <w:rPr>
          <w:rFonts w:ascii="新宋体" w:hAnsi="新宋体" w:eastAsia="新宋体" w:cs="新宋体"/>
          <w:sz w:val="15"/>
          <w:szCs w:val="15"/>
        </w:rPr>
      </w:pPr>
      <w:r>
        <w:rPr>
          <w:rFonts w:hint="eastAsia"/>
          <w:sz w:val="15"/>
          <w:szCs w:val="15"/>
        </w:rPr>
        <w:t>6.2.1控制器</w:t>
      </w:r>
      <w:r>
        <w:rPr>
          <w:rFonts w:hint="eastAsia" w:ascii="新宋体" w:hAnsi="新宋体" w:eastAsia="新宋体" w:cs="新宋体"/>
          <w:sz w:val="15"/>
          <w:szCs w:val="15"/>
        </w:rPr>
        <w:t>键盘</w:t>
      </w:r>
    </w:p>
    <w:tbl>
      <w:tblPr>
        <w:tblStyle w:val="9"/>
        <w:tblpPr w:leftFromText="180" w:rightFromText="180" w:vertAnchor="text" w:horzAnchor="margin" w:tblpXSpec="right" w:tblpY="232"/>
        <w:tblW w:w="5104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4145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959" w:type="dxa"/>
          </w:tcPr>
          <w:p>
            <w:pPr>
              <w:ind w:firstLine="225" w:firstLineChars="150"/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▲</w:t>
            </w:r>
          </w:p>
        </w:tc>
        <w:tc>
          <w:tcPr>
            <w:tcW w:w="4145" w:type="dxa"/>
          </w:tcPr>
          <w:p>
            <w:pPr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参数号向上切换键；在待机状态按下就可进入参数设置状态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959" w:type="dxa"/>
          </w:tcPr>
          <w:p>
            <w:pPr>
              <w:ind w:firstLine="225" w:firstLineChars="150"/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▼</w:t>
            </w:r>
          </w:p>
        </w:tc>
        <w:tc>
          <w:tcPr>
            <w:tcW w:w="4145" w:type="dxa"/>
          </w:tcPr>
          <w:p>
            <w:pPr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参数号向下切换键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" w:hRule="atLeast"/>
        </w:trPr>
        <w:tc>
          <w:tcPr>
            <w:tcW w:w="959" w:type="dxa"/>
            <w:textDirection w:val="lrTbV"/>
          </w:tcPr>
          <w:p>
            <w:pPr>
              <w:ind w:firstLine="225" w:firstLineChars="150"/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▲</w:t>
            </w:r>
          </w:p>
        </w:tc>
        <w:tc>
          <w:tcPr>
            <w:tcW w:w="4145" w:type="dxa"/>
          </w:tcPr>
          <w:p>
            <w:pPr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数值减小键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959" w:type="dxa"/>
            <w:textDirection w:val="lrTbV"/>
          </w:tcPr>
          <w:p>
            <w:pPr>
              <w:ind w:firstLine="225" w:firstLineChars="150"/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▼</w:t>
            </w:r>
          </w:p>
        </w:tc>
        <w:tc>
          <w:tcPr>
            <w:tcW w:w="4145" w:type="dxa"/>
          </w:tcPr>
          <w:p>
            <w:pPr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数值增加键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959" w:type="dxa"/>
          </w:tcPr>
          <w:p>
            <w:pPr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存储/退出</w:t>
            </w:r>
          </w:p>
        </w:tc>
        <w:tc>
          <w:tcPr>
            <w:tcW w:w="4145" w:type="dxa"/>
          </w:tcPr>
          <w:p>
            <w:pPr>
              <w:rPr>
                <w:rFonts w:ascii="新宋体" w:hAnsi="新宋体" w:eastAsia="新宋体" w:cs="新宋体"/>
                <w:sz w:val="15"/>
                <w:szCs w:val="15"/>
              </w:rPr>
            </w:pPr>
            <w:r>
              <w:rPr>
                <w:rFonts w:hint="eastAsia" w:ascii="新宋体" w:hAnsi="新宋体" w:eastAsia="新宋体" w:cs="新宋体"/>
                <w:sz w:val="15"/>
                <w:szCs w:val="15"/>
              </w:rPr>
              <w:t>在设置状态按下后保存参数退出</w:t>
            </w:r>
          </w:p>
        </w:tc>
      </w:tr>
    </w:tbl>
    <w:p>
      <w:pPr>
        <w:spacing w:beforeLines="50" w:afterLines="50" w:line="240" w:lineRule="exact"/>
        <w:rPr>
          <w:rFonts w:ascii="新宋体" w:hAnsi="新宋体" w:eastAsia="新宋体" w:cs="新宋体"/>
          <w:sz w:val="15"/>
          <w:szCs w:val="15"/>
        </w:rPr>
      </w:pPr>
      <w:r>
        <w:rPr>
          <w:rFonts w:ascii="新宋体" w:hAnsi="新宋体" w:eastAsia="新宋体" w:cs="新宋体"/>
          <w:sz w:val="15"/>
          <w:szCs w:val="15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190500</wp:posOffset>
            </wp:positionV>
            <wp:extent cx="1645920" cy="817245"/>
            <wp:effectExtent l="19050" t="0" r="0" b="0"/>
            <wp:wrapSquare wrapText="bothSides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rFonts w:ascii="新宋体" w:hAnsi="新宋体" w:eastAsia="新宋体" w:cs="新宋体"/>
          <w:sz w:val="28"/>
          <w:szCs w:val="28"/>
        </w:rPr>
      </w:pPr>
    </w:p>
    <w:p>
      <w:pPr>
        <w:spacing w:line="240" w:lineRule="exact"/>
        <w:rPr>
          <w:rFonts w:cs="新宋体" w:asciiTheme="majorEastAsia" w:hAnsiTheme="majorEastAsia" w:eastAsiaTheme="majorEastAsia"/>
          <w:sz w:val="15"/>
          <w:szCs w:val="15"/>
        </w:rPr>
      </w:pPr>
    </w:p>
    <w:p>
      <w:pPr>
        <w:spacing w:line="240" w:lineRule="exact"/>
        <w:rPr>
          <w:rFonts w:cs="新宋体" w:asciiTheme="majorEastAsia" w:hAnsiTheme="majorEastAsia" w:eastAsiaTheme="majorEastAsia"/>
          <w:sz w:val="15"/>
          <w:szCs w:val="15"/>
        </w:rPr>
      </w:pPr>
    </w:p>
    <w:p>
      <w:pPr>
        <w:spacing w:line="240" w:lineRule="exact"/>
        <w:rPr>
          <w:rFonts w:cs="新宋体" w:asciiTheme="majorEastAsia" w:hAnsiTheme="majorEastAsia" w:eastAsiaTheme="majorEastAsia"/>
          <w:sz w:val="15"/>
          <w:szCs w:val="15"/>
        </w:rPr>
      </w:pPr>
    </w:p>
    <w:p>
      <w:pPr>
        <w:spacing w:line="240" w:lineRule="exact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6.2.2参数项设定</w:t>
      </w:r>
    </w:p>
    <w:p>
      <w:pPr>
        <w:spacing w:line="240" w:lineRule="exact"/>
        <w:ind w:firstLine="300" w:firstLineChars="200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按动</w:t>
      </w:r>
      <w:r>
        <w:rPr>
          <w:rFonts w:hint="eastAsia" w:cs="新宋体" w:asciiTheme="majorEastAsia" w:hAnsiTheme="majorEastAsia" w:eastAsiaTheme="majorEastAsia"/>
          <w:b/>
          <w:sz w:val="15"/>
          <w:szCs w:val="15"/>
        </w:rPr>
        <w:t>▲</w:t>
      </w:r>
      <w:r>
        <w:rPr>
          <w:rFonts w:hint="eastAsia" w:cs="新宋体" w:asciiTheme="majorEastAsia" w:hAnsiTheme="majorEastAsia" w:eastAsiaTheme="majorEastAsia"/>
          <w:sz w:val="15"/>
          <w:szCs w:val="15"/>
        </w:rPr>
        <w:t>键进入设置状态，按动</w:t>
      </w:r>
      <w:r>
        <w:rPr>
          <w:rFonts w:hint="eastAsia" w:ascii="新宋体" w:hAnsi="新宋体" w:eastAsia="新宋体" w:cs="新宋体"/>
          <w:sz w:val="15"/>
          <w:szCs w:val="15"/>
        </w:rPr>
        <w:t>▲或▼</w:t>
      </w:r>
      <w:r>
        <w:rPr>
          <w:rFonts w:hint="eastAsia" w:cs="新宋体" w:asciiTheme="majorEastAsia" w:hAnsiTheme="majorEastAsia" w:eastAsiaTheme="majorEastAsia"/>
          <w:sz w:val="15"/>
          <w:szCs w:val="15"/>
        </w:rPr>
        <w:t>键选择要设定的参数项，再按动数值增加或减小键即可将对该参数项进行数值设置。</w:t>
      </w:r>
    </w:p>
    <w:p>
      <w:pPr>
        <w:spacing w:line="240" w:lineRule="exact"/>
        <w:ind w:firstLine="300" w:firstLineChars="200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数值设置后按下“存储、退出”键，设置完成。</w:t>
      </w:r>
    </w:p>
    <w:p>
      <w:pPr>
        <w:spacing w:line="240" w:lineRule="exact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6.2.3几点注意事项</w:t>
      </w:r>
    </w:p>
    <w:p>
      <w:pPr>
        <w:spacing w:line="240" w:lineRule="exact"/>
        <w:ind w:firstLine="303" w:firstLineChars="202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用于双门机组时，需要将参数项23“控制器模式”中数值设为“1”；</w:t>
      </w:r>
    </w:p>
    <w:p>
      <w:pPr>
        <w:spacing w:line="240" w:lineRule="exact"/>
        <w:ind w:firstLine="303" w:firstLineChars="202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用于双向机组时，需将参数项24“开启模式选择”中数值设为“1”；</w:t>
      </w:r>
    </w:p>
    <w:p>
      <w:pPr>
        <w:spacing w:line="240" w:lineRule="exact"/>
        <w:ind w:firstLine="303" w:firstLineChars="202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有电锁时，先暂不给电锁接线，待门开闭基本过程调试正常后再接电锁并调试。</w:t>
      </w:r>
    </w:p>
    <w:p>
      <w:pPr>
        <w:spacing w:beforeLines="50" w:afterLines="50" w:line="240" w:lineRule="exact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6.2.4初始通电时机组自学习复位过程</w:t>
      </w:r>
    </w:p>
    <w:p>
      <w:pPr>
        <w:pStyle w:val="12"/>
        <w:spacing w:line="240" w:lineRule="exact"/>
        <w:ind w:firstLine="435" w:firstLineChars="290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单向门机系统在初始通电或断电再次通电后，应保证门向关门位旋转（不能向开门转动）。如发现门向开门位转动，应将参数项9“开门方向”中数值“0”或“1”调整为“1”或“0”，这样将改变门转动方向。</w:t>
      </w:r>
    </w:p>
    <w:p>
      <w:pPr>
        <w:pStyle w:val="12"/>
        <w:spacing w:line="240" w:lineRule="exact"/>
        <w:ind w:firstLine="426" w:firstLineChars="284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双向门机系统初始通电或断电再次通电后，门先向开门方向转动90°，再向关门方向运行180°后自动回位并停止在关门位置。双向门机系统每调整一次参数项都需要进行一次复位自学习过程。</w:t>
      </w:r>
    </w:p>
    <w:p>
      <w:pPr>
        <w:pStyle w:val="12"/>
        <w:spacing w:line="240" w:lineRule="exact"/>
        <w:ind w:firstLine="426" w:firstLineChars="284"/>
        <w:rPr>
          <w:rFonts w:cs="新宋体" w:asciiTheme="majorEastAsia" w:hAnsiTheme="majorEastAsia" w:eastAsiaTheme="majorEastAsia"/>
          <w:sz w:val="15"/>
          <w:szCs w:val="15"/>
        </w:rPr>
      </w:pPr>
      <w:r>
        <w:rPr>
          <w:rFonts w:hint="eastAsia" w:cs="新宋体" w:asciiTheme="majorEastAsia" w:hAnsiTheme="majorEastAsia" w:eastAsiaTheme="majorEastAsia"/>
          <w:sz w:val="15"/>
          <w:szCs w:val="15"/>
        </w:rPr>
        <w:t>系统完成初始通电复位自学习过程后，即可根据需要调整相应参数项中数值。</w:t>
      </w:r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6.2.5 遥控器（选装）</w:t>
      </w:r>
    </w:p>
    <w:p>
      <w:pPr>
        <w:spacing w:line="240" w:lineRule="exact"/>
        <w:rPr>
          <w:sz w:val="15"/>
          <w:szCs w:val="15"/>
        </w:rPr>
      </w:pPr>
      <w:r>
        <w:rPr>
          <w:sz w:val="15"/>
          <w:szCs w:val="15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3962400</wp:posOffset>
            </wp:positionH>
            <wp:positionV relativeFrom="paragraph">
              <wp:posOffset>0</wp:posOffset>
            </wp:positionV>
            <wp:extent cx="1038225" cy="1533525"/>
            <wp:effectExtent l="19050" t="0" r="9525" b="0"/>
            <wp:wrapSquare wrapText="bothSides"/>
            <wp:docPr id="29" name="图片 1" descr="D:\360安全浏览器下载\说明书\新编说明书资料\遥控器 - 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 descr="D:\360安全浏览器下载\说明书\新编说明书资料\遥控器 - 副本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15"/>
          <w:szCs w:val="15"/>
        </w:rPr>
        <w:t>6.2.5.1遥控器按键功能说明见下表</w:t>
      </w:r>
    </w:p>
    <w:tbl>
      <w:tblPr>
        <w:tblStyle w:val="10"/>
        <w:tblpPr w:leftFromText="180" w:rightFromText="180" w:vertAnchor="text" w:horzAnchor="margin" w:tblpY="212"/>
        <w:tblW w:w="5670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4394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shd w:val="clear" w:color="auto" w:fill="D8D8D8" w:themeFill="background1" w:themeFillShade="D9"/>
          </w:tcPr>
          <w:p>
            <w:pPr>
              <w:ind w:firstLine="75" w:firstLineChars="50"/>
              <w:jc w:val="left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功能模式</w:t>
            </w:r>
          </w:p>
        </w:tc>
        <w:tc>
          <w:tcPr>
            <w:tcW w:w="4394" w:type="dxa"/>
            <w:shd w:val="clear" w:color="auto" w:fill="D8D8D8" w:themeFill="background1" w:themeFillShade="D9"/>
          </w:tcPr>
          <w:p>
            <w:pPr>
              <w:ind w:firstLine="1506" w:firstLineChars="1000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vAlign w:val="center"/>
          </w:tcPr>
          <w:p>
            <w:pPr>
              <w:ind w:firstLine="75" w:firstLineChars="5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自动模式</w:t>
            </w:r>
          </w:p>
        </w:tc>
        <w:tc>
          <w:tcPr>
            <w:tcW w:w="4394" w:type="dxa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开门后，门保持开启一段时间（开启时间可控）后自动关门。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vAlign w:val="center"/>
          </w:tcPr>
          <w:p>
            <w:pPr>
              <w:ind w:firstLine="75" w:firstLineChars="5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单向模式</w:t>
            </w:r>
          </w:p>
        </w:tc>
        <w:tc>
          <w:tcPr>
            <w:tcW w:w="4394" w:type="dxa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单方向通行，商场、超市、银行等闭市清客时使用。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vAlign w:val="center"/>
          </w:tcPr>
          <w:p>
            <w:pPr>
              <w:ind w:firstLine="75" w:firstLineChars="5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夜间模式</w:t>
            </w:r>
          </w:p>
        </w:tc>
        <w:tc>
          <w:tcPr>
            <w:tcW w:w="4394" w:type="dxa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除最高优先级输入端口有效外，其余输入端口均处于无效状态。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vAlign w:val="center"/>
          </w:tcPr>
          <w:p>
            <w:pPr>
              <w:ind w:firstLine="75" w:firstLineChars="50"/>
              <w:jc w:val="left"/>
              <w:rPr>
                <w:sz w:val="15"/>
                <w:szCs w:val="15"/>
              </w:rPr>
            </w:pPr>
            <w:r>
              <w:rPr>
                <w:rFonts w:hint="eastAsia" w:ascii="宋体" w:hAnsi="宋体"/>
                <w:sz w:val="15"/>
                <w:szCs w:val="15"/>
              </w:rPr>
              <w:t>常开模式</w:t>
            </w:r>
          </w:p>
        </w:tc>
        <w:tc>
          <w:tcPr>
            <w:tcW w:w="4394" w:type="dxa"/>
          </w:tcPr>
          <w:p>
            <w:pPr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门常开模式用于人流量较大场合，常关模式用于假期等场合。</w:t>
            </w:r>
          </w:p>
        </w:tc>
      </w:tr>
    </w:tbl>
    <w:p>
      <w:pPr>
        <w:spacing w:beforeLines="50" w:afterLines="50"/>
        <w:rPr>
          <w:sz w:val="15"/>
          <w:szCs w:val="15"/>
        </w:rPr>
      </w:pPr>
      <w:r>
        <w:rPr>
          <w:rFonts w:hint="eastAsia"/>
          <w:sz w:val="15"/>
          <w:szCs w:val="15"/>
        </w:rPr>
        <w:t>6.2.5.2遥控器授权</w:t>
      </w:r>
    </w:p>
    <w:p>
      <w:pPr>
        <w:spacing w:beforeLines="50" w:afterLines="50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选择参数项10，按下数值增加或减少键进入遥控器授权状态，按下遥控器上任一键以供学习代码，授权指示灯（状态灯）闪烁一次，数码管显示“1”，此时遥控器已成功授权。对多个遥控器授权，可按以上步骤重复即可。</w:t>
      </w:r>
    </w:p>
    <w:p>
      <w:pPr>
        <w:spacing w:beforeLines="50" w:afterLines="50"/>
        <w:rPr>
          <w:sz w:val="15"/>
          <w:szCs w:val="15"/>
        </w:rPr>
      </w:pPr>
      <w:r>
        <w:rPr>
          <w:rFonts w:hint="eastAsia"/>
          <w:sz w:val="15"/>
          <w:szCs w:val="15"/>
        </w:rPr>
        <w:t>6.2.5.3删除遥控器授权</w:t>
      </w:r>
    </w:p>
    <w:p>
      <w:pPr>
        <w:spacing w:beforeLines="50" w:afterLines="50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选择参数项22，将数值调到</w:t>
      </w:r>
      <w:r>
        <w:rPr>
          <w:sz w:val="15"/>
          <w:szCs w:val="15"/>
        </w:rPr>
        <w:t>“</w:t>
      </w:r>
      <w:r>
        <w:rPr>
          <w:rFonts w:hint="eastAsia"/>
          <w:sz w:val="15"/>
          <w:szCs w:val="15"/>
        </w:rPr>
        <w:t>10</w:t>
      </w:r>
      <w:r>
        <w:rPr>
          <w:sz w:val="15"/>
          <w:szCs w:val="15"/>
        </w:rPr>
        <w:t>”</w:t>
      </w:r>
      <w:r>
        <w:rPr>
          <w:rFonts w:hint="eastAsia"/>
          <w:sz w:val="15"/>
          <w:szCs w:val="15"/>
        </w:rPr>
        <w:t>，按“存储/退出”键，即删除所有遥控器授权。</w:t>
      </w:r>
    </w:p>
    <w:p>
      <w:pPr>
        <w:pStyle w:val="12"/>
        <w:numPr>
          <w:ilvl w:val="2"/>
          <w:numId w:val="7"/>
        </w:numPr>
        <w:ind w:firstLineChars="0"/>
        <w:rPr>
          <w:sz w:val="15"/>
          <w:szCs w:val="15"/>
        </w:rPr>
      </w:pPr>
      <w:r>
        <w:rPr>
          <w:rFonts w:hint="eastAsia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4029075</wp:posOffset>
            </wp:positionH>
            <wp:positionV relativeFrom="paragraph">
              <wp:posOffset>121920</wp:posOffset>
            </wp:positionV>
            <wp:extent cx="1314450" cy="1514475"/>
            <wp:effectExtent l="19050" t="0" r="0" b="0"/>
            <wp:wrapSquare wrapText="bothSides"/>
            <wp:docPr id="78" name="图片 51" descr="C:\Users\Administrator\Desktop\5挡开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51" descr="C:\Users\Administrator\Desktop\5挡开关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15"/>
          <w:szCs w:val="15"/>
        </w:rPr>
        <w:t>5挡模式选择开关（选装）</w:t>
      </w:r>
    </w:p>
    <w:tbl>
      <w:tblPr>
        <w:tblStyle w:val="10"/>
        <w:tblpPr w:leftFromText="180" w:rightFromText="180" w:vertAnchor="page" w:horzAnchor="margin" w:tblpY="3701"/>
        <w:tblW w:w="3794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3"/>
        <w:gridCol w:w="2421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3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工作电压</w:t>
            </w:r>
          </w:p>
        </w:tc>
        <w:tc>
          <w:tcPr>
            <w:tcW w:w="242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AC/DC 12~24V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3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功能选择</w:t>
            </w:r>
          </w:p>
        </w:tc>
        <w:tc>
          <w:tcPr>
            <w:tcW w:w="242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自动</w:t>
            </w:r>
            <w:r>
              <w:rPr>
                <w:rFonts w:hint="eastAsia" w:ascii="宋体" w:hAnsi="宋体"/>
                <w:sz w:val="15"/>
                <w:szCs w:val="15"/>
              </w:rPr>
              <w:t>→</w:t>
            </w:r>
            <w:r>
              <w:rPr>
                <w:rFonts w:hint="eastAsia"/>
                <w:sz w:val="15"/>
                <w:szCs w:val="15"/>
              </w:rPr>
              <w:t>常开</w:t>
            </w:r>
            <w:r>
              <w:rPr>
                <w:rFonts w:hint="eastAsia" w:ascii="宋体" w:hAnsi="宋体"/>
                <w:sz w:val="15"/>
                <w:szCs w:val="15"/>
              </w:rPr>
              <w:t>→</w:t>
            </w:r>
            <w:r>
              <w:rPr>
                <w:rFonts w:hint="eastAsia"/>
                <w:sz w:val="15"/>
                <w:szCs w:val="15"/>
              </w:rPr>
              <w:t>常闭</w:t>
            </w:r>
            <w:r>
              <w:rPr>
                <w:rFonts w:hint="eastAsia" w:ascii="宋体" w:hAnsi="宋体"/>
                <w:sz w:val="15"/>
                <w:szCs w:val="15"/>
              </w:rPr>
              <w:t>→</w:t>
            </w:r>
            <w:r>
              <w:rPr>
                <w:rFonts w:hint="eastAsia"/>
                <w:sz w:val="15"/>
                <w:szCs w:val="15"/>
              </w:rPr>
              <w:t>单门</w:t>
            </w:r>
            <w:r>
              <w:rPr>
                <w:rFonts w:hint="eastAsia" w:ascii="宋体" w:hAnsi="宋体"/>
                <w:sz w:val="15"/>
                <w:szCs w:val="15"/>
              </w:rPr>
              <w:t>→</w:t>
            </w:r>
            <w:r>
              <w:rPr>
                <w:rFonts w:hint="eastAsia"/>
                <w:sz w:val="15"/>
                <w:szCs w:val="15"/>
              </w:rPr>
              <w:t>手动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3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显示屏</w:t>
            </w:r>
          </w:p>
        </w:tc>
        <w:tc>
          <w:tcPr>
            <w:tcW w:w="242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TFT真彩色35×25mm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3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外形尺寸</w:t>
            </w:r>
          </w:p>
        </w:tc>
        <w:tc>
          <w:tcPr>
            <w:tcW w:w="242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105×45×49mm</w:t>
            </w:r>
          </w:p>
        </w:tc>
      </w:tr>
    </w:tbl>
    <w:p>
      <w:pPr>
        <w:pStyle w:val="12"/>
        <w:ind w:left="720" w:firstLine="0" w:firstLineChars="0"/>
        <w:rPr>
          <w:szCs w:val="21"/>
        </w:rPr>
      </w:pPr>
    </w:p>
    <w:p>
      <w:pPr>
        <w:spacing w:line="240" w:lineRule="exact"/>
        <w:ind w:firstLine="300" w:firstLineChars="200"/>
        <w:rPr>
          <w:sz w:val="15"/>
          <w:szCs w:val="15"/>
        </w:rPr>
      </w:pPr>
    </w:p>
    <w:p>
      <w:pPr>
        <w:spacing w:line="240" w:lineRule="exact"/>
        <w:ind w:firstLine="300" w:firstLineChars="200"/>
        <w:rPr>
          <w:sz w:val="15"/>
          <w:szCs w:val="15"/>
        </w:rPr>
      </w:pPr>
    </w:p>
    <w:p>
      <w:pPr>
        <w:spacing w:line="240" w:lineRule="exact"/>
        <w:ind w:firstLine="300" w:firstLineChars="200"/>
        <w:rPr>
          <w:sz w:val="15"/>
          <w:szCs w:val="15"/>
        </w:rPr>
      </w:pPr>
    </w:p>
    <w:p>
      <w:pPr>
        <w:spacing w:line="240" w:lineRule="exact"/>
        <w:ind w:firstLine="300" w:firstLineChars="200"/>
        <w:rPr>
          <w:sz w:val="15"/>
          <w:szCs w:val="15"/>
        </w:rPr>
      </w:pPr>
    </w:p>
    <w:p>
      <w:pPr>
        <w:spacing w:line="240" w:lineRule="exact"/>
        <w:ind w:firstLine="300" w:firstLineChars="200"/>
        <w:rPr>
          <w:sz w:val="15"/>
          <w:szCs w:val="15"/>
        </w:rPr>
      </w:pPr>
    </w:p>
    <w:p>
      <w:pPr>
        <w:spacing w:line="240" w:lineRule="exact"/>
        <w:rPr>
          <w:sz w:val="15"/>
          <w:szCs w:val="15"/>
        </w:rPr>
      </w:pPr>
    </w:p>
    <w:p>
      <w:pPr>
        <w:spacing w:line="240" w:lineRule="exact"/>
        <w:rPr>
          <w:sz w:val="15"/>
          <w:szCs w:val="15"/>
        </w:rPr>
      </w:pPr>
    </w:p>
    <w:p>
      <w:pPr>
        <w:spacing w:line="240" w:lineRule="exact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钥匙向右旋转选择功能模式，然后需再向左旋转进行确认，选好后钥匙自然回复中位，此时系统即进入所选择模式。</w:t>
      </w:r>
    </w:p>
    <w:p>
      <w:pPr>
        <w:spacing w:line="240" w:lineRule="exact"/>
        <w:ind w:firstLine="225" w:firstLineChars="150"/>
        <w:rPr>
          <w:sz w:val="15"/>
          <w:szCs w:val="15"/>
        </w:rPr>
      </w:pPr>
      <w:r>
        <w:rPr>
          <w:rFonts w:hint="eastAsia"/>
          <w:sz w:val="15"/>
          <w:szCs w:val="15"/>
        </w:rPr>
        <w:t>模式选择开关接线见5.5中P5\P6端口接线图。</w:t>
      </w:r>
    </w:p>
    <w:p>
      <w:pPr>
        <w:pStyle w:val="12"/>
        <w:ind w:left="720" w:firstLine="300"/>
        <w:rPr>
          <w:sz w:val="15"/>
          <w:szCs w:val="15"/>
        </w:rPr>
      </w:pPr>
    </w:p>
    <w:p>
      <w:pPr>
        <w:pStyle w:val="12"/>
        <w:numPr>
          <w:ilvl w:val="2"/>
          <w:numId w:val="7"/>
        </w:numPr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调试时可能需调整的基本参数项</w:t>
      </w:r>
    </w:p>
    <w:p>
      <w:pPr>
        <w:rPr>
          <w:sz w:val="15"/>
          <w:szCs w:val="15"/>
        </w:rPr>
      </w:pPr>
    </w:p>
    <w:p>
      <w:pPr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调试时，如果参数项的出厂设置数值能够满足使用要求，就不需要进行数值调整。下表中所列参数项或可能有部分需要调整其数值，或需要调整未列在表内的其它参数项的数值。</w:t>
      </w:r>
    </w:p>
    <w:tbl>
      <w:tblPr>
        <w:tblStyle w:val="10"/>
        <w:tblpPr w:leftFromText="180" w:rightFromText="180" w:vertAnchor="text" w:horzAnchor="margin" w:tblpY="141"/>
        <w:tblW w:w="8328" w:type="dxa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231"/>
        <w:gridCol w:w="3967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shd w:val="clear" w:color="auto" w:fill="D8D8D8" w:themeFill="background1" w:themeFillShade="D9"/>
          </w:tcPr>
          <w:p>
            <w:pPr>
              <w:pStyle w:val="12"/>
              <w:ind w:firstLine="0" w:firstLineChars="0"/>
              <w:jc w:val="center"/>
              <w:rPr>
                <w:b/>
                <w:sz w:val="15"/>
                <w:szCs w:val="15"/>
              </w:rPr>
            </w:pPr>
            <w:bookmarkStart w:id="1" w:name="_Toc35264383"/>
            <w:r>
              <w:rPr>
                <w:rFonts w:hint="eastAsia"/>
                <w:b/>
                <w:sz w:val="15"/>
                <w:szCs w:val="15"/>
              </w:rPr>
              <w:t>过程</w:t>
            </w:r>
          </w:p>
        </w:tc>
        <w:tc>
          <w:tcPr>
            <w:tcW w:w="2231" w:type="dxa"/>
            <w:shd w:val="clear" w:color="auto" w:fill="D8D8D8" w:themeFill="background1" w:themeFillShade="D9"/>
          </w:tcPr>
          <w:p>
            <w:pPr>
              <w:pStyle w:val="12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相关基本参数项</w:t>
            </w:r>
          </w:p>
        </w:tc>
        <w:tc>
          <w:tcPr>
            <w:tcW w:w="3967" w:type="dxa"/>
            <w:shd w:val="clear" w:color="auto" w:fill="D8D8D8" w:themeFill="background1" w:themeFillShade="D9"/>
          </w:tcPr>
          <w:p>
            <w:pPr>
              <w:pStyle w:val="12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应对问题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pStyle w:val="12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开门过程</w:t>
            </w: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1.开门速度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选择适当开门速度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3.开门角度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调整开门角度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9.开门方向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保证初始通电时，门向关门位置转动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17.开门缓动距离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调整开门即将到位时的速度，减小冲击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19.开门延时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保证电磁锁先开锁再开门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23.控制器模式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出厂默认值为单门，双门时需调整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29.开门到位位置防风模式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将门稳定在开门位置，防止因风吹产生摆动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pStyle w:val="12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关门过程</w:t>
            </w: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2.关门速度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选择适当关门速度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6.关门防夹延时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关门受阻夹人时，门反转延迟时间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7.压门力度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调整关门即将到位时机组输出转矩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16.关门缓动距离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调整关门即将到位时的速度，减小关门冲击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28.通电/断电上锁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选择电锁上锁类型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pStyle w:val="12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其它</w:t>
            </w: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8.模式选择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可设置推即开、推即关及电锁类型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10.遥控器添加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加入遥控器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25.电机转矩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可根据负载和使用环境调整电机输出转矩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  <w:tc>
          <w:tcPr>
            <w:tcW w:w="2231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40.恢复出厂设置</w:t>
            </w:r>
          </w:p>
        </w:tc>
        <w:tc>
          <w:tcPr>
            <w:tcW w:w="3967" w:type="dxa"/>
          </w:tcPr>
          <w:p>
            <w:pPr>
              <w:pStyle w:val="12"/>
              <w:ind w:firstLine="0" w:firstLineChars="0"/>
              <w:rPr>
                <w:sz w:val="15"/>
                <w:szCs w:val="15"/>
              </w:rPr>
            </w:pPr>
          </w:p>
        </w:tc>
      </w:tr>
    </w:tbl>
    <w:p>
      <w:pPr>
        <w:pStyle w:val="2"/>
        <w:spacing w:beforeLines="50" w:afterLines="50" w:line="240" w:lineRule="exact"/>
        <w:rPr>
          <w:sz w:val="21"/>
          <w:szCs w:val="21"/>
        </w:rPr>
      </w:pPr>
    </w:p>
    <w:p>
      <w:pPr>
        <w:pStyle w:val="2"/>
        <w:spacing w:beforeLines="50" w:afterLines="50" w:line="240" w:lineRule="exact"/>
        <w:rPr>
          <w:sz w:val="21"/>
          <w:szCs w:val="21"/>
        </w:rPr>
      </w:pPr>
      <w:r>
        <w:rPr>
          <w:rFonts w:hint="eastAsia"/>
          <w:sz w:val="21"/>
          <w:szCs w:val="21"/>
        </w:rPr>
        <w:t>7 维护保养</w:t>
      </w:r>
      <w:bookmarkEnd w:id="1"/>
    </w:p>
    <w:p>
      <w:pPr>
        <w:pStyle w:val="12"/>
        <w:numPr>
          <w:ilvl w:val="0"/>
          <w:numId w:val="8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每年至少一次进行系统维护；</w:t>
      </w:r>
    </w:p>
    <w:p>
      <w:pPr>
        <w:pStyle w:val="12"/>
        <w:numPr>
          <w:ilvl w:val="0"/>
          <w:numId w:val="8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检查、紧固所有紧固螺钉等标准件；</w:t>
      </w:r>
    </w:p>
    <w:p>
      <w:pPr>
        <w:pStyle w:val="12"/>
        <w:numPr>
          <w:ilvl w:val="0"/>
          <w:numId w:val="8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检查、润滑所有转动部件；</w:t>
      </w:r>
    </w:p>
    <w:p>
      <w:pPr>
        <w:pStyle w:val="12"/>
        <w:numPr>
          <w:ilvl w:val="0"/>
          <w:numId w:val="8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检查系统其它部件，如有损坏应及时更换；</w:t>
      </w:r>
    </w:p>
    <w:p>
      <w:pPr>
        <w:pStyle w:val="12"/>
        <w:numPr>
          <w:ilvl w:val="0"/>
          <w:numId w:val="8"/>
        </w:numPr>
        <w:spacing w:line="240" w:lineRule="exact"/>
        <w:ind w:firstLineChars="0"/>
        <w:rPr>
          <w:sz w:val="15"/>
          <w:szCs w:val="15"/>
        </w:rPr>
      </w:pPr>
      <w:r>
        <w:rPr>
          <w:rFonts w:hint="eastAsia"/>
          <w:sz w:val="15"/>
          <w:szCs w:val="15"/>
        </w:rPr>
        <w:t>系统通电运行，观察开关门动作及控制功能是否正常。</w:t>
      </w:r>
    </w:p>
    <w:p>
      <w:pPr>
        <w:pStyle w:val="12"/>
        <w:spacing w:line="240" w:lineRule="exact"/>
        <w:ind w:firstLine="450" w:firstLineChars="300"/>
        <w:rPr>
          <w:sz w:val="15"/>
          <w:szCs w:val="15"/>
        </w:rPr>
      </w:pPr>
      <w:r>
        <w:rPr>
          <w:rFonts w:hint="eastAsia"/>
          <w:sz w:val="15"/>
          <w:szCs w:val="15"/>
        </w:rPr>
        <w:t>系统维护保养时，注意存在电击、机械撞击、门体夹人等潜在伤害风险，维护保养工作应由专业人员完成。</w:t>
      </w:r>
    </w:p>
    <w:p>
      <w:pPr>
        <w:spacing w:line="240" w:lineRule="atLeast"/>
        <w:ind w:firstLine="420" w:firstLineChars="200"/>
        <w:rPr>
          <w:u w:val="single"/>
        </w:rPr>
      </w:pPr>
    </w:p>
    <w:p>
      <w:pPr>
        <w:spacing w:line="240" w:lineRule="atLeast"/>
        <w:ind w:firstLine="420" w:firstLineChars="200"/>
        <w:rPr>
          <w:u w:val="single"/>
        </w:rPr>
      </w:pPr>
      <w:r>
        <w:rPr>
          <w:rFonts w:hint="eastAsia"/>
          <w:u w:val="single"/>
        </w:rPr>
        <w:t>因本公司在产品技术上进行不断创新与改进，产品技术性能及参数有可能进行变更，恕不再另行通知。</w:t>
      </w:r>
    </w:p>
    <w:p>
      <w:pPr>
        <w:spacing w:line="240" w:lineRule="atLeast"/>
        <w:ind w:firstLine="420" w:firstLineChars="200"/>
        <w:rPr>
          <w:u w:val="single"/>
        </w:rPr>
      </w:pPr>
    </w:p>
    <w:p>
      <w:pPr>
        <w:pStyle w:val="2"/>
        <w:spacing w:before="120" w:after="120" w:line="240" w:lineRule="auto"/>
        <w:rPr>
          <w:sz w:val="21"/>
          <w:szCs w:val="21"/>
        </w:rPr>
      </w:pPr>
      <w:bookmarkStart w:id="2" w:name="_Toc35264384"/>
      <w:r>
        <w:rPr>
          <w:rFonts w:hint="eastAsia"/>
          <w:sz w:val="21"/>
          <w:szCs w:val="21"/>
        </w:rPr>
        <w:t>附：保修协议</w:t>
      </w:r>
      <w:bookmarkEnd w:id="2"/>
    </w:p>
    <w:p>
      <w:p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1. 以上产品保修壹年（以合同签定日期为准）。保修期内按照使用说明书的规定、在正常使用情况下，如产品发生故障或损坏，我公司将负责免费维修。</w:t>
      </w:r>
    </w:p>
    <w:p>
      <w:pPr>
        <w:widowControl/>
        <w:numPr>
          <w:ilvl w:val="0"/>
          <w:numId w:val="9"/>
        </w:numPr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保修期内，因以下原因导致损坏，将收取一定的维修费用：</w:t>
      </w:r>
    </w:p>
    <w:p>
      <w:pPr>
        <w:widowControl/>
        <w:numPr>
          <w:ilvl w:val="0"/>
          <w:numId w:val="10"/>
        </w:numPr>
        <w:spacing w:line="240" w:lineRule="exact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因使用上的错误及自行擅自修理，改造而导致的损坏；</w:t>
      </w:r>
    </w:p>
    <w:p>
      <w:pPr>
        <w:widowControl/>
        <w:numPr>
          <w:ilvl w:val="0"/>
          <w:numId w:val="10"/>
        </w:numPr>
        <w:spacing w:line="240" w:lineRule="exact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由于水灾，火灾，电压异常，其它天灾造成的损坏；</w:t>
      </w:r>
    </w:p>
    <w:p>
      <w:pPr>
        <w:widowControl/>
        <w:numPr>
          <w:ilvl w:val="0"/>
          <w:numId w:val="10"/>
        </w:numPr>
        <w:spacing w:line="240" w:lineRule="exact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购买后因为摔落，撞击及运输中导致的机器损坏；</w:t>
      </w:r>
    </w:p>
    <w:p>
      <w:pPr>
        <w:spacing w:line="240" w:lineRule="exact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4)  未按公司提供的用户手册操作导致的机器损坏；</w:t>
      </w:r>
    </w:p>
    <w:p>
      <w:pPr>
        <w:spacing w:line="240" w:lineRule="exact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5)  因机器以外的设备导致的故障或损坏；</w:t>
      </w:r>
    </w:p>
    <w:p>
      <w:pPr>
        <w:spacing w:line="240" w:lineRule="exact"/>
        <w:ind w:firstLine="300" w:firstLineChars="200"/>
        <w:rPr>
          <w:sz w:val="15"/>
          <w:szCs w:val="15"/>
        </w:rPr>
      </w:pPr>
      <w:r>
        <w:rPr>
          <w:rFonts w:hint="eastAsia"/>
          <w:sz w:val="15"/>
          <w:szCs w:val="15"/>
        </w:rPr>
        <w:t>6)  遥控器等易损件不在保修范围内。</w:t>
      </w:r>
    </w:p>
    <w:p>
      <w:pPr>
        <w:widowControl/>
        <w:numPr>
          <w:ilvl w:val="0"/>
          <w:numId w:val="11"/>
        </w:numPr>
        <w:tabs>
          <w:tab w:val="clear" w:pos="312"/>
        </w:tabs>
        <w:spacing w:line="240" w:lineRule="exact"/>
        <w:rPr>
          <w:sz w:val="15"/>
          <w:szCs w:val="15"/>
        </w:rPr>
      </w:pPr>
      <w:r>
        <w:rPr>
          <w:rFonts w:hint="eastAsia"/>
          <w:sz w:val="15"/>
          <w:szCs w:val="15"/>
        </w:rPr>
        <w:t>维修费的收取，按照本公司最新的维修价目收取。</w:t>
      </w:r>
    </w:p>
    <w:p>
      <w:pPr>
        <w:widowControl/>
        <w:numPr>
          <w:ilvl w:val="0"/>
          <w:numId w:val="11"/>
        </w:numPr>
        <w:spacing w:beforeLines="50" w:afterLines="50"/>
        <w:rPr>
          <w:rFonts w:asciiTheme="minorHAnsi" w:hAnsiTheme="minorHAnsi" w:eastAsiaTheme="minorEastAsia" w:cstheme="minorBidi"/>
        </w:rPr>
      </w:pPr>
      <w:r>
        <w:rPr>
          <w:rFonts w:hint="eastAsia"/>
          <w:sz w:val="15"/>
          <w:szCs w:val="15"/>
        </w:rPr>
        <w:t>在维修过程中如有问题，请及时与我们代理商或我公司联系。</w:t>
      </w:r>
      <w:r>
        <w:tab/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4533327"/>
      <w:docPartObj>
        <w:docPartGallery w:val="AutoText"/>
      </w:docPartObj>
    </w:sdtPr>
    <w:sdtContent>
      <w:p>
        <w:pPr>
          <w:pStyle w:val="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10</w:t>
        </w:r>
        <w:r>
          <w:rPr>
            <w:lang w:val="zh-CN"/>
          </w:rPr>
          <w:fldChar w:fldCharType="end"/>
        </w:r>
      </w:p>
    </w:sdtContent>
  </w:sdt>
  <w:p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rFonts w:hint="eastAsia"/>
      </w:rPr>
      <w:t>重型平开自动门机用户手册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77058E"/>
    <w:multiLevelType w:val="multilevel"/>
    <w:tmpl w:val="0777058E"/>
    <w:lvl w:ilvl="0" w:tentative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 w:tentative="0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 w:tentative="0">
      <w:start w:val="5"/>
      <w:numFmt w:val="decimal"/>
      <w:lvlText w:val="%1.%2.%3"/>
      <w:lvlJc w:val="left"/>
      <w:pPr>
        <w:ind w:left="360" w:hanging="36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720" w:hanging="72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</w:rPr>
    </w:lvl>
  </w:abstractNum>
  <w:abstractNum w:abstractNumId="1">
    <w:nsid w:val="1C6161DA"/>
    <w:multiLevelType w:val="multilevel"/>
    <w:tmpl w:val="1C6161DA"/>
    <w:lvl w:ilvl="0" w:tentative="0">
      <w:start w:val="1"/>
      <w:numFmt w:val="bullet"/>
      <w:lvlText w:val=""/>
      <w:lvlJc w:val="left"/>
      <w:pPr>
        <w:ind w:left="844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4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4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4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4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4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4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4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4" w:hanging="420"/>
      </w:pPr>
      <w:rPr>
        <w:rFonts w:hint="default" w:ascii="Wingdings" w:hAnsi="Wingdings"/>
      </w:rPr>
    </w:lvl>
  </w:abstractNum>
  <w:abstractNum w:abstractNumId="2">
    <w:nsid w:val="1DA618B8"/>
    <w:multiLevelType w:val="multilevel"/>
    <w:tmpl w:val="1DA618B8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2FE77B8D"/>
    <w:multiLevelType w:val="multilevel"/>
    <w:tmpl w:val="2FE77B8D"/>
    <w:lvl w:ilvl="0" w:tentative="0">
      <w:start w:val="1"/>
      <w:numFmt w:val="bullet"/>
      <w:lvlText w:val=""/>
      <w:lvlJc w:val="left"/>
      <w:pPr>
        <w:ind w:left="844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4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4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4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4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4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4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4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4" w:hanging="420"/>
      </w:pPr>
      <w:rPr>
        <w:rFonts w:hint="default" w:ascii="Wingdings" w:hAnsi="Wingdings"/>
      </w:rPr>
    </w:lvl>
  </w:abstractNum>
  <w:abstractNum w:abstractNumId="4">
    <w:nsid w:val="57727666"/>
    <w:multiLevelType w:val="multilevel"/>
    <w:tmpl w:val="57727666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578251E0"/>
    <w:multiLevelType w:val="multilevel"/>
    <w:tmpl w:val="578251E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6">
    <w:nsid w:val="5A0E9F60"/>
    <w:multiLevelType w:val="singleLevel"/>
    <w:tmpl w:val="5A0E9F60"/>
    <w:lvl w:ilvl="0" w:tentative="0">
      <w:start w:val="2"/>
      <w:numFmt w:val="decimal"/>
      <w:suff w:val="space"/>
      <w:lvlText w:val="%1."/>
      <w:lvlJc w:val="left"/>
    </w:lvl>
  </w:abstractNum>
  <w:abstractNum w:abstractNumId="7">
    <w:nsid w:val="5A0E9F87"/>
    <w:multiLevelType w:val="singleLevel"/>
    <w:tmpl w:val="5A0E9F87"/>
    <w:lvl w:ilvl="0" w:tentative="0">
      <w:start w:val="1"/>
      <w:numFmt w:val="decimal"/>
      <w:suff w:val="space"/>
      <w:lvlText w:val="%1)"/>
      <w:lvlJc w:val="left"/>
    </w:lvl>
  </w:abstractNum>
  <w:abstractNum w:abstractNumId="8">
    <w:nsid w:val="5A0EA02D"/>
    <w:multiLevelType w:val="singleLevel"/>
    <w:tmpl w:val="5A0EA02D"/>
    <w:lvl w:ilvl="0" w:tentative="0">
      <w:start w:val="3"/>
      <w:numFmt w:val="decimal"/>
      <w:lvlText w:val="%1."/>
      <w:lvlJc w:val="left"/>
      <w:pPr>
        <w:tabs>
          <w:tab w:val="left" w:pos="312"/>
        </w:tabs>
      </w:pPr>
      <w:rPr>
        <w:sz w:val="15"/>
        <w:szCs w:val="15"/>
      </w:rPr>
    </w:lvl>
  </w:abstractNum>
  <w:abstractNum w:abstractNumId="9">
    <w:nsid w:val="68F37108"/>
    <w:multiLevelType w:val="multilevel"/>
    <w:tmpl w:val="68F37108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0">
    <w:nsid w:val="6DB15FEE"/>
    <w:multiLevelType w:val="multilevel"/>
    <w:tmpl w:val="6DB15FEE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1"/>
  </w:num>
  <w:num w:numId="5">
    <w:abstractNumId w:val="2"/>
  </w:num>
  <w:num w:numId="6">
    <w:abstractNumId w:val="10"/>
  </w:num>
  <w:num w:numId="7">
    <w:abstractNumId w:val="0"/>
  </w:num>
  <w:num w:numId="8">
    <w:abstractNumId w:val="5"/>
  </w:num>
  <w:num w:numId="9">
    <w:abstractNumId w:val="6"/>
  </w:num>
  <w:num w:numId="10">
    <w:abstractNumId w:val="7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hideGrammaticalError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52005"/>
    <w:rsid w:val="00031939"/>
    <w:rsid w:val="000352B8"/>
    <w:rsid w:val="0003746A"/>
    <w:rsid w:val="00044190"/>
    <w:rsid w:val="00047227"/>
    <w:rsid w:val="00056B9B"/>
    <w:rsid w:val="0007225A"/>
    <w:rsid w:val="000736FF"/>
    <w:rsid w:val="00077B50"/>
    <w:rsid w:val="00082B9F"/>
    <w:rsid w:val="00087D5A"/>
    <w:rsid w:val="000A326A"/>
    <w:rsid w:val="000B1ECB"/>
    <w:rsid w:val="000D125C"/>
    <w:rsid w:val="000D43FF"/>
    <w:rsid w:val="000D447E"/>
    <w:rsid w:val="000E3BB4"/>
    <w:rsid w:val="000E64D0"/>
    <w:rsid w:val="00107A48"/>
    <w:rsid w:val="001170DC"/>
    <w:rsid w:val="00127559"/>
    <w:rsid w:val="0013423D"/>
    <w:rsid w:val="00135241"/>
    <w:rsid w:val="00142D50"/>
    <w:rsid w:val="001430B0"/>
    <w:rsid w:val="00150E32"/>
    <w:rsid w:val="001520C6"/>
    <w:rsid w:val="00157B8E"/>
    <w:rsid w:val="001617BF"/>
    <w:rsid w:val="00175FBC"/>
    <w:rsid w:val="00191382"/>
    <w:rsid w:val="001939ED"/>
    <w:rsid w:val="001959CF"/>
    <w:rsid w:val="001966E3"/>
    <w:rsid w:val="001A3A14"/>
    <w:rsid w:val="001C763C"/>
    <w:rsid w:val="001D24B2"/>
    <w:rsid w:val="001D4081"/>
    <w:rsid w:val="001E1093"/>
    <w:rsid w:val="001E2BD6"/>
    <w:rsid w:val="001F23F0"/>
    <w:rsid w:val="00202EDD"/>
    <w:rsid w:val="00211A63"/>
    <w:rsid w:val="00211B9A"/>
    <w:rsid w:val="00220E31"/>
    <w:rsid w:val="00221923"/>
    <w:rsid w:val="00222CFC"/>
    <w:rsid w:val="00232A70"/>
    <w:rsid w:val="0024605B"/>
    <w:rsid w:val="00260F98"/>
    <w:rsid w:val="002659A0"/>
    <w:rsid w:val="00265C2B"/>
    <w:rsid w:val="00280697"/>
    <w:rsid w:val="00295ED8"/>
    <w:rsid w:val="002A4FE0"/>
    <w:rsid w:val="002A5BDE"/>
    <w:rsid w:val="002B1EBA"/>
    <w:rsid w:val="002B6322"/>
    <w:rsid w:val="002C15B1"/>
    <w:rsid w:val="002C7873"/>
    <w:rsid w:val="002D35F6"/>
    <w:rsid w:val="002D4A34"/>
    <w:rsid w:val="002E1728"/>
    <w:rsid w:val="002F14D1"/>
    <w:rsid w:val="002F2DF8"/>
    <w:rsid w:val="002F452D"/>
    <w:rsid w:val="002F7892"/>
    <w:rsid w:val="00300257"/>
    <w:rsid w:val="00303338"/>
    <w:rsid w:val="0030407A"/>
    <w:rsid w:val="00311D6A"/>
    <w:rsid w:val="00322EB4"/>
    <w:rsid w:val="0032354A"/>
    <w:rsid w:val="00331EB5"/>
    <w:rsid w:val="003410FA"/>
    <w:rsid w:val="003429EF"/>
    <w:rsid w:val="00350189"/>
    <w:rsid w:val="00360849"/>
    <w:rsid w:val="00364A43"/>
    <w:rsid w:val="0037037A"/>
    <w:rsid w:val="0037170B"/>
    <w:rsid w:val="00376587"/>
    <w:rsid w:val="00380ECC"/>
    <w:rsid w:val="00390DEE"/>
    <w:rsid w:val="003A1F78"/>
    <w:rsid w:val="003B1F58"/>
    <w:rsid w:val="003B3189"/>
    <w:rsid w:val="003C10A1"/>
    <w:rsid w:val="003C1CB1"/>
    <w:rsid w:val="003C5199"/>
    <w:rsid w:val="003C6BBE"/>
    <w:rsid w:val="003D3A31"/>
    <w:rsid w:val="003E0671"/>
    <w:rsid w:val="003E3665"/>
    <w:rsid w:val="003F0D11"/>
    <w:rsid w:val="003F0D83"/>
    <w:rsid w:val="003F3FA6"/>
    <w:rsid w:val="00402AA6"/>
    <w:rsid w:val="0041700B"/>
    <w:rsid w:val="00417104"/>
    <w:rsid w:val="00426056"/>
    <w:rsid w:val="004278A3"/>
    <w:rsid w:val="00430F13"/>
    <w:rsid w:val="00437448"/>
    <w:rsid w:val="00445727"/>
    <w:rsid w:val="00447FF8"/>
    <w:rsid w:val="004505E9"/>
    <w:rsid w:val="00457885"/>
    <w:rsid w:val="004809B2"/>
    <w:rsid w:val="00481261"/>
    <w:rsid w:val="004851C4"/>
    <w:rsid w:val="004A6DB9"/>
    <w:rsid w:val="004B377E"/>
    <w:rsid w:val="004C0C14"/>
    <w:rsid w:val="004C3A31"/>
    <w:rsid w:val="004D0FD1"/>
    <w:rsid w:val="004D3563"/>
    <w:rsid w:val="004E402F"/>
    <w:rsid w:val="004E5376"/>
    <w:rsid w:val="00510098"/>
    <w:rsid w:val="00523681"/>
    <w:rsid w:val="00523F61"/>
    <w:rsid w:val="00530EAD"/>
    <w:rsid w:val="0053170C"/>
    <w:rsid w:val="0053574B"/>
    <w:rsid w:val="0054043D"/>
    <w:rsid w:val="00543034"/>
    <w:rsid w:val="005459B6"/>
    <w:rsid w:val="00546C72"/>
    <w:rsid w:val="00546D08"/>
    <w:rsid w:val="00547A8B"/>
    <w:rsid w:val="0055187E"/>
    <w:rsid w:val="00567F4B"/>
    <w:rsid w:val="005743EC"/>
    <w:rsid w:val="00576EB3"/>
    <w:rsid w:val="00592A7F"/>
    <w:rsid w:val="005A1271"/>
    <w:rsid w:val="005B183C"/>
    <w:rsid w:val="005B18E9"/>
    <w:rsid w:val="005B4644"/>
    <w:rsid w:val="005C7B85"/>
    <w:rsid w:val="00627459"/>
    <w:rsid w:val="00631612"/>
    <w:rsid w:val="00636D75"/>
    <w:rsid w:val="00641B7E"/>
    <w:rsid w:val="00643F74"/>
    <w:rsid w:val="00650398"/>
    <w:rsid w:val="0067545F"/>
    <w:rsid w:val="00683E68"/>
    <w:rsid w:val="00684D30"/>
    <w:rsid w:val="00686E9A"/>
    <w:rsid w:val="00687298"/>
    <w:rsid w:val="00691391"/>
    <w:rsid w:val="006A054E"/>
    <w:rsid w:val="006A1A0A"/>
    <w:rsid w:val="006A354F"/>
    <w:rsid w:val="006B06E6"/>
    <w:rsid w:val="006B0CBE"/>
    <w:rsid w:val="006B1028"/>
    <w:rsid w:val="006B7A43"/>
    <w:rsid w:val="006C437D"/>
    <w:rsid w:val="006C6A5C"/>
    <w:rsid w:val="006D273B"/>
    <w:rsid w:val="006F500D"/>
    <w:rsid w:val="006F5951"/>
    <w:rsid w:val="00703A67"/>
    <w:rsid w:val="00704F8A"/>
    <w:rsid w:val="00714D16"/>
    <w:rsid w:val="007164B9"/>
    <w:rsid w:val="00724BE1"/>
    <w:rsid w:val="0073255C"/>
    <w:rsid w:val="00764D04"/>
    <w:rsid w:val="00767F57"/>
    <w:rsid w:val="00777621"/>
    <w:rsid w:val="00782214"/>
    <w:rsid w:val="00783BEC"/>
    <w:rsid w:val="00785E56"/>
    <w:rsid w:val="007B0A94"/>
    <w:rsid w:val="007B4A23"/>
    <w:rsid w:val="007B6DA3"/>
    <w:rsid w:val="007C756B"/>
    <w:rsid w:val="007C76E5"/>
    <w:rsid w:val="007D4023"/>
    <w:rsid w:val="007E1076"/>
    <w:rsid w:val="007F1144"/>
    <w:rsid w:val="007F7E91"/>
    <w:rsid w:val="008026D4"/>
    <w:rsid w:val="00803DDC"/>
    <w:rsid w:val="008068F2"/>
    <w:rsid w:val="00807C3A"/>
    <w:rsid w:val="00812B08"/>
    <w:rsid w:val="00813D32"/>
    <w:rsid w:val="00813E74"/>
    <w:rsid w:val="00815B3A"/>
    <w:rsid w:val="008161B3"/>
    <w:rsid w:val="00823670"/>
    <w:rsid w:val="008271A4"/>
    <w:rsid w:val="008278EA"/>
    <w:rsid w:val="00834057"/>
    <w:rsid w:val="00835162"/>
    <w:rsid w:val="00845446"/>
    <w:rsid w:val="00862591"/>
    <w:rsid w:val="0086315D"/>
    <w:rsid w:val="00875695"/>
    <w:rsid w:val="00877CD2"/>
    <w:rsid w:val="00883C52"/>
    <w:rsid w:val="008937B7"/>
    <w:rsid w:val="00894071"/>
    <w:rsid w:val="0089605A"/>
    <w:rsid w:val="008A0F9F"/>
    <w:rsid w:val="008A1DDC"/>
    <w:rsid w:val="008A4C99"/>
    <w:rsid w:val="008B0A4F"/>
    <w:rsid w:val="008B0D61"/>
    <w:rsid w:val="008B4D8C"/>
    <w:rsid w:val="008C3397"/>
    <w:rsid w:val="008D1D24"/>
    <w:rsid w:val="008D2601"/>
    <w:rsid w:val="008D591F"/>
    <w:rsid w:val="008D6404"/>
    <w:rsid w:val="008E088D"/>
    <w:rsid w:val="008E5DAB"/>
    <w:rsid w:val="009063D6"/>
    <w:rsid w:val="0091247C"/>
    <w:rsid w:val="0091618F"/>
    <w:rsid w:val="00916DCE"/>
    <w:rsid w:val="00931A40"/>
    <w:rsid w:val="0094054E"/>
    <w:rsid w:val="00946226"/>
    <w:rsid w:val="00952AAE"/>
    <w:rsid w:val="00962ECC"/>
    <w:rsid w:val="00962F8A"/>
    <w:rsid w:val="00975747"/>
    <w:rsid w:val="009803E7"/>
    <w:rsid w:val="0098112E"/>
    <w:rsid w:val="00983DEA"/>
    <w:rsid w:val="00997937"/>
    <w:rsid w:val="00997A66"/>
    <w:rsid w:val="009B02B3"/>
    <w:rsid w:val="009B05B9"/>
    <w:rsid w:val="009F1579"/>
    <w:rsid w:val="009F50C5"/>
    <w:rsid w:val="009F5105"/>
    <w:rsid w:val="009F7B0C"/>
    <w:rsid w:val="00A07CBA"/>
    <w:rsid w:val="00A14989"/>
    <w:rsid w:val="00A17F5A"/>
    <w:rsid w:val="00A23C0A"/>
    <w:rsid w:val="00A261F9"/>
    <w:rsid w:val="00A31CFD"/>
    <w:rsid w:val="00A362FB"/>
    <w:rsid w:val="00A65197"/>
    <w:rsid w:val="00A70420"/>
    <w:rsid w:val="00A70F76"/>
    <w:rsid w:val="00A76264"/>
    <w:rsid w:val="00A8065A"/>
    <w:rsid w:val="00A925B8"/>
    <w:rsid w:val="00A96216"/>
    <w:rsid w:val="00A9647D"/>
    <w:rsid w:val="00A9752B"/>
    <w:rsid w:val="00AB1C5E"/>
    <w:rsid w:val="00AC2597"/>
    <w:rsid w:val="00AC43F5"/>
    <w:rsid w:val="00AC61C2"/>
    <w:rsid w:val="00AC6546"/>
    <w:rsid w:val="00AD0F38"/>
    <w:rsid w:val="00AF709F"/>
    <w:rsid w:val="00B01923"/>
    <w:rsid w:val="00B035E7"/>
    <w:rsid w:val="00B235F7"/>
    <w:rsid w:val="00B237DF"/>
    <w:rsid w:val="00B27AE6"/>
    <w:rsid w:val="00B27F8C"/>
    <w:rsid w:val="00B310BB"/>
    <w:rsid w:val="00B3407C"/>
    <w:rsid w:val="00B41778"/>
    <w:rsid w:val="00B46B30"/>
    <w:rsid w:val="00B535D9"/>
    <w:rsid w:val="00B57F9C"/>
    <w:rsid w:val="00B65077"/>
    <w:rsid w:val="00B734A2"/>
    <w:rsid w:val="00B75E82"/>
    <w:rsid w:val="00B820FA"/>
    <w:rsid w:val="00B91DEF"/>
    <w:rsid w:val="00B97607"/>
    <w:rsid w:val="00BA161A"/>
    <w:rsid w:val="00BA6065"/>
    <w:rsid w:val="00BB18FB"/>
    <w:rsid w:val="00BB7BE9"/>
    <w:rsid w:val="00BC2809"/>
    <w:rsid w:val="00BC4A0E"/>
    <w:rsid w:val="00BE00FC"/>
    <w:rsid w:val="00BE0BCD"/>
    <w:rsid w:val="00BF6C74"/>
    <w:rsid w:val="00C02CA5"/>
    <w:rsid w:val="00C069F5"/>
    <w:rsid w:val="00C2148E"/>
    <w:rsid w:val="00C23A8C"/>
    <w:rsid w:val="00C315AB"/>
    <w:rsid w:val="00C41A60"/>
    <w:rsid w:val="00C445F9"/>
    <w:rsid w:val="00C44D05"/>
    <w:rsid w:val="00C45B89"/>
    <w:rsid w:val="00C54F36"/>
    <w:rsid w:val="00C5772F"/>
    <w:rsid w:val="00C614C6"/>
    <w:rsid w:val="00C65C9D"/>
    <w:rsid w:val="00C70196"/>
    <w:rsid w:val="00C74029"/>
    <w:rsid w:val="00C7631A"/>
    <w:rsid w:val="00C9074D"/>
    <w:rsid w:val="00C978F4"/>
    <w:rsid w:val="00CC376B"/>
    <w:rsid w:val="00CD2109"/>
    <w:rsid w:val="00CE03E7"/>
    <w:rsid w:val="00CE12F8"/>
    <w:rsid w:val="00CF665A"/>
    <w:rsid w:val="00D00DB4"/>
    <w:rsid w:val="00D111A4"/>
    <w:rsid w:val="00D14006"/>
    <w:rsid w:val="00D14E56"/>
    <w:rsid w:val="00D16A2E"/>
    <w:rsid w:val="00D22D16"/>
    <w:rsid w:val="00D26EC3"/>
    <w:rsid w:val="00D334CF"/>
    <w:rsid w:val="00D52218"/>
    <w:rsid w:val="00D65239"/>
    <w:rsid w:val="00D666DB"/>
    <w:rsid w:val="00D66FE2"/>
    <w:rsid w:val="00D76108"/>
    <w:rsid w:val="00D80FA2"/>
    <w:rsid w:val="00D81C82"/>
    <w:rsid w:val="00D83D2A"/>
    <w:rsid w:val="00D85FAF"/>
    <w:rsid w:val="00DB212F"/>
    <w:rsid w:val="00DB7084"/>
    <w:rsid w:val="00DC161C"/>
    <w:rsid w:val="00DC1FB0"/>
    <w:rsid w:val="00DD2012"/>
    <w:rsid w:val="00DE03E8"/>
    <w:rsid w:val="00DE5DBF"/>
    <w:rsid w:val="00E02A05"/>
    <w:rsid w:val="00E06A38"/>
    <w:rsid w:val="00E11284"/>
    <w:rsid w:val="00E145FA"/>
    <w:rsid w:val="00E22DA1"/>
    <w:rsid w:val="00E36429"/>
    <w:rsid w:val="00E40320"/>
    <w:rsid w:val="00E42BD6"/>
    <w:rsid w:val="00E4376F"/>
    <w:rsid w:val="00E45ADE"/>
    <w:rsid w:val="00E47985"/>
    <w:rsid w:val="00E61FAD"/>
    <w:rsid w:val="00E679C8"/>
    <w:rsid w:val="00E70943"/>
    <w:rsid w:val="00E73772"/>
    <w:rsid w:val="00E75F6B"/>
    <w:rsid w:val="00E87664"/>
    <w:rsid w:val="00E87D02"/>
    <w:rsid w:val="00E91353"/>
    <w:rsid w:val="00E9646E"/>
    <w:rsid w:val="00EA039C"/>
    <w:rsid w:val="00EA2666"/>
    <w:rsid w:val="00EA72F9"/>
    <w:rsid w:val="00EB066C"/>
    <w:rsid w:val="00EB6021"/>
    <w:rsid w:val="00EB69FB"/>
    <w:rsid w:val="00EC03DE"/>
    <w:rsid w:val="00EC0C36"/>
    <w:rsid w:val="00ED5CA1"/>
    <w:rsid w:val="00EE028C"/>
    <w:rsid w:val="00EE0BA3"/>
    <w:rsid w:val="00EF088D"/>
    <w:rsid w:val="00F01315"/>
    <w:rsid w:val="00F05155"/>
    <w:rsid w:val="00F14D63"/>
    <w:rsid w:val="00F35213"/>
    <w:rsid w:val="00F359DA"/>
    <w:rsid w:val="00F4585E"/>
    <w:rsid w:val="00F52005"/>
    <w:rsid w:val="00F540A9"/>
    <w:rsid w:val="00F73C69"/>
    <w:rsid w:val="00F83CCC"/>
    <w:rsid w:val="00F93BEA"/>
    <w:rsid w:val="00F958E2"/>
    <w:rsid w:val="00FB2387"/>
    <w:rsid w:val="00FC0C8E"/>
    <w:rsid w:val="00FC1AA2"/>
    <w:rsid w:val="00FD4410"/>
    <w:rsid w:val="00FE30E0"/>
    <w:rsid w:val="00FE34B4"/>
    <w:rsid w:val="00FE7051"/>
    <w:rsid w:val="56865FA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:doNotEmbedSmartTag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黑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4"/>
    <w:basedOn w:val="1"/>
    <w:next w:val="1"/>
    <w:link w:val="20"/>
    <w:qFormat/>
    <w:uiPriority w:val="9"/>
    <w:pPr>
      <w:widowControl/>
      <w:spacing w:before="100" w:beforeAutospacing="1" w:after="100" w:afterAutospacing="1"/>
      <w:jc w:val="left"/>
      <w:outlineLvl w:val="3"/>
    </w:pPr>
    <w:rPr>
      <w:rFonts w:ascii="宋体" w:hAnsi="宋体" w:cs="宋体"/>
      <w:b/>
      <w:bCs/>
      <w:kern w:val="0"/>
      <w:sz w:val="24"/>
      <w:szCs w:val="24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qFormat/>
    <w:uiPriority w:val="0"/>
    <w:rPr>
      <w:sz w:val="18"/>
      <w:szCs w:val="18"/>
    </w:rPr>
  </w:style>
  <w:style w:type="paragraph" w:styleId="5">
    <w:name w:val="footer"/>
    <w:basedOn w:val="1"/>
    <w:link w:val="14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semiHidden/>
    <w:unhideWhenUsed/>
    <w:qFormat/>
    <w:uiPriority w:val="99"/>
    <w:rPr>
      <w:color w:val="0000FF"/>
      <w:u w:val="single"/>
    </w:rPr>
  </w:style>
  <w:style w:type="table" w:styleId="10">
    <w:name w:val="Table Grid"/>
    <w:basedOn w:val="9"/>
    <w:qFormat/>
    <w:uiPriority w:val="0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列出段落1"/>
    <w:basedOn w:val="1"/>
    <w:qFormat/>
    <w:uiPriority w:val="0"/>
    <w:pPr>
      <w:ind w:firstLine="200" w:firstLineChars="200"/>
    </w:pPr>
  </w:style>
  <w:style w:type="paragraph" w:styleId="12">
    <w:name w:val="List Paragraph"/>
    <w:basedOn w:val="1"/>
    <w:qFormat/>
    <w:uiPriority w:val="34"/>
    <w:pPr>
      <w:ind w:firstLine="420" w:firstLineChars="200"/>
    </w:pPr>
    <w:rPr>
      <w:rFonts w:asciiTheme="minorHAnsi" w:hAnsiTheme="minorHAnsi" w:eastAsiaTheme="minorEastAsia" w:cstheme="minorBidi"/>
    </w:rPr>
  </w:style>
  <w:style w:type="character" w:customStyle="1" w:styleId="13">
    <w:name w:val="页眉 Char"/>
    <w:basedOn w:val="7"/>
    <w:link w:val="6"/>
    <w:uiPriority w:val="99"/>
    <w:rPr>
      <w:rFonts w:ascii="Calibri" w:hAnsi="Calibri" w:eastAsia="宋体"/>
      <w:kern w:val="2"/>
      <w:sz w:val="18"/>
      <w:szCs w:val="18"/>
    </w:rPr>
  </w:style>
  <w:style w:type="character" w:customStyle="1" w:styleId="14">
    <w:name w:val="页脚 Char"/>
    <w:basedOn w:val="7"/>
    <w:link w:val="5"/>
    <w:qFormat/>
    <w:uiPriority w:val="99"/>
    <w:rPr>
      <w:rFonts w:ascii="Calibri" w:hAnsi="Calibri" w:eastAsia="宋体"/>
      <w:kern w:val="2"/>
      <w:sz w:val="18"/>
      <w:szCs w:val="18"/>
    </w:rPr>
  </w:style>
  <w:style w:type="paragraph" w:styleId="15">
    <w:name w:val="No Spacing"/>
    <w:link w:val="16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16">
    <w:name w:val="无间隔 Char"/>
    <w:basedOn w:val="7"/>
    <w:link w:val="15"/>
    <w:uiPriority w:val="1"/>
    <w:rPr>
      <w:rFonts w:asciiTheme="minorHAnsi" w:hAnsiTheme="minorHAnsi" w:eastAsiaTheme="minorEastAsia" w:cstheme="minorBidi"/>
      <w:sz w:val="22"/>
      <w:szCs w:val="22"/>
    </w:rPr>
  </w:style>
  <w:style w:type="character" w:customStyle="1" w:styleId="17">
    <w:name w:val="skip"/>
    <w:basedOn w:val="7"/>
    <w:uiPriority w:val="0"/>
  </w:style>
  <w:style w:type="character" w:customStyle="1" w:styleId="18">
    <w:name w:val="apple-converted-space"/>
    <w:basedOn w:val="7"/>
    <w:uiPriority w:val="0"/>
  </w:style>
  <w:style w:type="paragraph" w:customStyle="1" w:styleId="19">
    <w:name w:val="src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20">
    <w:name w:val="标题 4 Char"/>
    <w:basedOn w:val="7"/>
    <w:link w:val="3"/>
    <w:uiPriority w:val="9"/>
    <w:rPr>
      <w:rFonts w:ascii="宋体" w:hAnsi="宋体" w:eastAsia="宋体" w:cs="宋体"/>
      <w:b/>
      <w:bCs/>
      <w:sz w:val="24"/>
      <w:szCs w:val="24"/>
    </w:rPr>
  </w:style>
  <w:style w:type="character" w:customStyle="1" w:styleId="21">
    <w:name w:val="标题 1 Char"/>
    <w:basedOn w:val="7"/>
    <w:link w:val="2"/>
    <w:qFormat/>
    <w:uiPriority w:val="9"/>
    <w:rPr>
      <w:rFonts w:ascii="Calibri" w:hAnsi="Calibri" w:eastAsia="宋体"/>
      <w:b/>
      <w:bCs/>
      <w:kern w:val="44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8" Type="http://schemas.openxmlformats.org/officeDocument/2006/relationships/fontTable" Target="fontTable.xml"/><Relationship Id="rId37" Type="http://schemas.openxmlformats.org/officeDocument/2006/relationships/customXml" Target="../customXml/item2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8.jpeg"/><Relationship Id="rId33" Type="http://schemas.openxmlformats.org/officeDocument/2006/relationships/image" Target="media/image27.jpe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jpeg"/><Relationship Id="rId21" Type="http://schemas.openxmlformats.org/officeDocument/2006/relationships/image" Target="media/image15.jpeg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jpeg"/><Relationship Id="rId17" Type="http://schemas.openxmlformats.org/officeDocument/2006/relationships/image" Target="media/image11.jpeg"/><Relationship Id="rId16" Type="http://schemas.openxmlformats.org/officeDocument/2006/relationships/image" Target="media/image1.tiff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灰度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4CBA5A3-A618-4C7E-BC21-842A623EE42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6858</Words>
  <Characters>2158</Characters>
  <Lines>17</Lines>
  <Paragraphs>17</Paragraphs>
  <TotalTime>1</TotalTime>
  <ScaleCrop>false</ScaleCrop>
  <LinksUpToDate>false</LinksUpToDate>
  <CharactersWithSpaces>8999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2021-05-24T00:18:00Z</dcterms:created>
  <dc:creator>Windows 用户</dc:creator>
  <cp:lastModifiedBy>Administrator</cp:lastModifiedBy>
  <cp:lastPrinted>2021-05-23T00:29:00Z</cp:lastPrinted>
  <dcterms:modified xsi:type="dcterms:W3CDTF">2021-05-26T00:10:58Z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